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45: ASI PROTECTED MONUMENTS &amp; CONSERVATION POLICY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AMASR Act 1958, 100m Prohibited Zones, Anastylosis Techniques, and Stone Conservation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Statutory Legal Framework for Protection</w:t>
      </w:r>
    </w:p>
    <w:p>
      <w:pPr>
        <w:spacing w:after="100" w:line="276" w:lineRule="auto"/>
      </w:pPr>
      <w:r>
        <w:t>Monuments across Hampi are centrally protected by the Archaeological Survey of India (ASI) under the Ancient Monuments and Archaeological Sites and Remains (AMASR) Act, 1958 (amended 2010):</w:t>
      </w:r>
    </w:p>
    <w:p>
      <w:pPr>
        <w:spacing w:after="100" w:line="276" w:lineRule="auto"/>
      </w:pPr>
      <w:r>
        <w:t>• Prohibited Zone: 100-meter radius surrounding every protected monument where all new construction or commercial mining is strictly illegal.</w:t>
        <w:br/>
        <w:t>• Regulated Zone: Additional 200-meter radius beyond the prohibited zone where construction requires mandatory prior sanction from the National Monuments Authority (NMA).</w:t>
        <w:br/>
        <w:t>• Scientific Anastylosis: ASI conservators reassemble fallen granite pillars, beams, and gopurams using original stone members and compatible lime-surkhi mortars, avoiding modern Portland cement which causes chemical salt efflorescence.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