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57: PRESERVATION, CONSERVATION &amp; STRUCTURAL INTEGRITY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Scientific Anastylosis, Stone Consolidation, Mortar Matching, and Digital Twin 3D Laser Scanning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Scientific Heritage Conservation Protocols</w:t>
      </w:r>
    </w:p>
    <w:p>
      <w:pPr>
        <w:spacing w:after="100" w:line="276" w:lineRule="auto"/>
      </w:pPr>
      <w:r>
        <w:t>Conservation at Hampi is led by the Archaeological Survey of India (ASI) in collaboration with international scientific bodies:</w:t>
      </w:r>
    </w:p>
    <w:p>
      <w:pPr>
        <w:spacing w:after="100" w:line="276" w:lineRule="auto"/>
      </w:pPr>
      <w:r>
        <w:t>• Anastylosis Methodology: Dismantling dangerously tilting stone structures, numbering each block, consolidating compromised foundations with lime-concrete rafts, and rebuilding the monument with original stone members.</w:t>
        <w:br/>
        <w:t>• Lime-Surkhi Mortar Chemistry: Total prohibition of modern Portland cement; conservators formulate traditional mortar using hydraulic lime, brick dust (surkhi), fine sand, and natural organic setting retardants (jaggery, bel fruit juice) that allow the masonry to breathe.</w:t>
        <w:br/>
        <w:t>• 3D Laser Scanning &amp; Digital Twins: Terrestrial laser scanning (TLS) and drone photogrammetry create sub-millimeter accurate digital twins of vulnerable monuments like the Vittala Stone Chariot and Virupaksha Gopuram to detect microscopic structural shifts.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HAM-DOC-57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