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59: CULTURAL ECONOMY &amp; TOURISM IMPACT ANALYSIS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Livelihoods, Guide Guilds, Hospitality Sector, Handicrafts, and Community Benefit Sharing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Socio-Economic Dimensions of Heritage Tourism</w:t>
      </w:r>
    </w:p>
    <w:p>
      <w:pPr>
        <w:spacing w:after="100" w:line="276" w:lineRule="auto"/>
      </w:pPr>
      <w:r>
        <w:t>Tourism serves as the economic lifeblood of the Hampi-Hosapete metropolitan corridor, generating sustainable livelihoods across multiple sectors:</w:t>
      </w:r>
    </w:p>
    <w:p>
      <w:pPr>
        <w:spacing w:after="100" w:line="276" w:lineRule="auto"/>
      </w:pPr>
      <w:r>
        <w:t>• Certified Heritage Guides: Over 150 ASI and Department of Tourism licensed multilingual guides provide educational tours.</w:t>
        <w:br/>
        <w:t>• Community Homestays &amp; Hospitality: Expansion of registered village homestays in Kamalapuram, Anegundi, and Kaddiramapura, directly distributing tourist expenditure into rural households.</w:t>
        <w:br/>
        <w:t>• Rural Artisan Enterprises: Sales of GI-tagged Kinnal toys, Ilkal sarees, and Anegundi banana fiber eco-crafts directly empower local women's self-help groups (SHGs).</w:t>
        <w:br/>
        <w:t>• ASI Revenue Generation: Over 1.2 million domestic and 60,000 international visitors annually generate crucial monument ticketing revenue supporting national conservation funds.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HAM-DOC-59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