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66: CONFLICTING INFORMATION &amp; HISTORIOGRAPHICAL DEBATES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Rigorous Scholarly Resolution of 6 Major Historical, Architectural, and Mythological Controversies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Academic Debates and Resolution Matrix</w:t>
      </w:r>
    </w:p>
    <w:p>
      <w:pPr>
        <w:spacing w:after="100" w:line="276" w:lineRule="auto"/>
      </w:pPr>
      <w:r>
        <w:t>This document presents a balanced, source-grounded analysis of conflicting claims across Hampi studies.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Dynastic Origin of Founders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1: </w:t>
      </w:r>
      <w:r>
        <w:t>Claim A (Karnataka/Hoysala): Founders were Kannada commanders of Hoysala Ballala III who inherited Hoysala administrative machinery. (Father Heras, S. Srikantha Sastri).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2: </w:t>
      </w:r>
      <w:r>
        <w:t>Claim B (Telugu/Kakatiya): Founders were treasury officers of Prataparudra of Warangal who fled to Kampili. (N. Venkataramanayya, K.A. Nilakanta Sastri).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B6EA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[SCHOLARLY RESOLUTION &amp; CONFIDENCE]</w:t>
              <w:br/>
            </w:r>
            <w:r>
              <w:rPr>
                <w:color w:val="3C3228"/>
                <w:sz w:val="20"/>
              </w:rPr>
              <w:t>Current Consensus: While both theories possess textual and epigraphic arguments, epigraphical evidence establishes that early Sangama administrative terms, titles, and continuous patronage directly continued Hoysala models. Confidence: MEDIUM-HIGH.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Function of the 'Zanana Enclosure'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1: </w:t>
      </w:r>
      <w:r>
        <w:t>Claim A (Colonial / Longhurst): Secluded private palace quarters exclusively for royal women and queens.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2: </w:t>
      </w:r>
      <w:r>
        <w:t>Claim B (Modern Archaeology / Fritz &amp; Michell): High watchtowers, military barracks proximity, and Lotus Mahal architecture point to a Secured Royal Treasury, Military Council, or King's Private Annex.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B6EA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[SCHOLARLY RESOLUTION &amp; CONFIDENCE]</w:t>
              <w:br/>
            </w:r>
            <w:r>
              <w:rPr>
                <w:color w:val="3C3228"/>
                <w:sz w:val="20"/>
              </w:rPr>
              <w:t>Current Consensus: The term 'Zanana' is an unsupported 19th-century colonial misnomer. Modern scholarship designates it as a Secure Administrative / Ceremonial Annex. Confidence: HIGH.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Superstructure of the Stone Chariot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1: </w:t>
      </w:r>
      <w:r>
        <w:t>Claim A: The Stone Chariot was always flat-topped as seen today.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2: </w:t>
      </w:r>
      <w:r>
        <w:t>Claim B: The Chariot originally possessed a tiered brick-and-stucco Dravidian Shikhara dome.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B6EA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[SCHOLARLY RESOLUTION &amp; CONFIDENCE]</w:t>
              <w:br/>
            </w:r>
            <w:r>
              <w:rPr>
                <w:color w:val="3C3228"/>
                <w:sz w:val="20"/>
              </w:rPr>
              <w:t>Current Consensus: 1856 photographic calotypes by Alexander Greenlaw conclusively prove the Chariot possessed a brick-and-stucco tower, dismantled late 19th c. for structural safety. Confidence: HIGH (Photographic Proof).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Nature of the Musical Pillars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1: </w:t>
      </w:r>
      <w:r>
        <w:t>Claim A: Pillars contain hollow metallic cores or were bored with advanced lost technology.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2: </w:t>
      </w:r>
      <w:r>
        <w:t>Claim B (Scientific Analysis): Solid granite columns with high quartz density resonating at natural structural modal frequencies.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B6EA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[SCHOLARLY RESOLUTION &amp; CONFIDENCE]</w:t>
              <w:br/>
            </w:r>
            <w:r>
              <w:rPr>
                <w:color w:val="3C3228"/>
                <w:sz w:val="20"/>
              </w:rPr>
              <w:t>Current Consensus: Solid homogeneous resonant granite. Sound is produced by natural elastic vibration frequencies depending on column geometry. Confidence: HIGH (Laboratory Verified).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The Post-1565 Fate of Hampi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1: </w:t>
      </w:r>
      <w:r>
        <w:t>Claim A: Hampi was completely annihilated and turned into an instant uninhabited ghost desert overnight in 1565.</w:t>
      </w:r>
    </w:p>
    <w:p>
      <w:pPr>
        <w:spacing w:after="100" w:line="276" w:lineRule="auto"/>
      </w:pPr>
      <w:r>
        <w:rPr>
          <w:b/>
          <w:color w:val="321E14"/>
        </w:rPr>
        <w:t xml:space="preserve">• Argument 2: </w:t>
      </w:r>
      <w:r>
        <w:t>Claim B: The capital was sacked and looted in 1565, but suburban settlements, the Virupaksha Temple, and agricultural canals maintained continuous local occupation.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B6EA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[SCHOLARLY RESOLUTION &amp; CONFIDENCE]</w:t>
              <w:br/>
            </w:r>
            <w:r>
              <w:rPr>
                <w:color w:val="3C3228"/>
                <w:sz w:val="20"/>
              </w:rPr>
              <w:t>Current Consensus: The royal administrative apparatus shifted south (Penukonda), but religious worship at Virupaksha and rural agrarian life in surrounding villages remained unbroken. Confidence: HIGH.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HAM-DOC-66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