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67: RESEARCH GAPS, MISSING DATA &amp; FIELDWORK PLAN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Identified Epistemic Limitations, Unexcavated Zones, Sub-surface GPR Needs, and Fieldwork Questionnaires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Critical Research Gaps in Hampi Scholarship</w:t>
      </w:r>
    </w:p>
    <w:p>
      <w:pPr>
        <w:spacing w:after="100" w:line="276" w:lineRule="auto"/>
      </w:pPr>
      <w:r>
        <w:t>Despite two centuries of documentation, crucial gaps remain in the archaeological and sociocultural record:</w:t>
      </w:r>
    </w:p>
    <w:p>
      <w:pPr>
        <w:spacing w:after="100" w:line="276" w:lineRule="auto"/>
      </w:pPr>
      <w:r>
        <w:t>1. Commoners' Residential Archaeology: Over 90% of excavations have focused on elite royal and monumental temple zones; the everyday domestic lives, artisan workshops, and non-elite residential sectors in the Urban Core remain largely unexcavated.</w:t>
        <w:br/>
        <w:t>2. Pre-Vijayanagara Stratigraphy: Deep stratigraphic ceramic sequences dating from the Satavahana to Hoysala periods beneath the monumental temples require systematic carbon-14 dating.</w:t>
        <w:br/>
        <w:t>3. Sub-surface Hydraulic Mapping: Non-invasive Ground Penetrating Radar (GPR) is urgently needed to map buried stone aqueducts and terracotta pipe networks connecting Kamalapuram Tank to the Royal Enclosure.</w:t>
        <w:br/>
        <w:t>4. Living Oral Histories: Systematic ethnographic documentation of hereditary priest families, folk puppeteers, and elderly village elders preserving oral ballads.</w:t>
      </w: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2. Future Field Research Plan &amp; Interview Questionnaires</w:t>
      </w:r>
    </w:p>
    <w:p>
      <w:pPr>
        <w:spacing w:after="100" w:line="276" w:lineRule="auto"/>
      </w:pPr>
      <w:r>
        <w:t>Structured questionnaires for upcoming multidisciplinary field expeditions:</w:t>
      </w:r>
    </w:p>
    <w:p>
      <w:pPr>
        <w:spacing w:after="100" w:line="276" w:lineRule="auto"/>
      </w:pPr>
      <w:r>
        <w:t>• For ASI Archaeological Staff: What are the current quantitative monitoring metrics for stone erosion on the Vittala musical pillars? What are the priority zones for future salvage excavations?</w:t>
        <w:br/>
        <w:t>• For Virupaksha Hereditary Priests: How has the daily liturgical cycle (Nitya Puja) evolved over the last century? What traditional Sthala records exist in private temple custody?</w:t>
        <w:br/>
        <w:t>• For Traditional Artisans (Kinnal / Weavers): What are the primary raw material constraints? How are traditional motifs being transmitted to younger generations?</w:t>
        <w:br/>
        <w:t>• For Local Village Panchayat Leaders: How do heritage regulations impact residential construction and local livelihood opportunities? What benefit-sharing mechanisms exist from tourism revenue?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