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8C2D19"/>
          <w:sz w:val="44"/>
        </w:rPr>
        <w:t>68: HAMPI MASTER RESEARCH COMPENDIUM</w:t>
      </w:r>
    </w:p>
    <w:p>
      <w:pPr>
        <w:spacing w:before="0" w:after="240"/>
      </w:pPr>
      <w:r>
        <w:rPr>
          <w:rFonts w:ascii="Georgia" w:hAnsi="Georgia"/>
          <w:i/>
          <w:color w:val="5A5046"/>
          <w:sz w:val="24"/>
        </w:rPr>
        <w:t>The Comprehensive Multidisciplinary Encyclopedia of Hampi-Vijayanagara Heritage (Parts 1 to 29)</w:t>
      </w:r>
    </w:p>
    <w:tbl>
      <w:tblPr>
        <w:tblW w:type="auto" w:w="0"/>
        <w:jc w:val="center"/>
        <w:tblLook w:firstColumn="1" w:firstRow="1" w:lastColumn="0" w:lastRow="0" w:noHBand="0" w:noVBand="1" w:val="04A0"/>
      </w:tblPr>
      <w:tblGrid>
        <w:gridCol w:w="4968"/>
        <w:gridCol w:w="4968"/>
      </w:tblGrid>
      <w:tr>
        <w:tc>
          <w:tcPr>
            <w:tcW w:type="dxa" w:w="2592"/>
            <w:shd w:fill="F2ECE4"/>
            <w:tcMar>
              <w:top w:w="60" w:type="dxa"/>
              <w:bottom w:w="60" w:type="dxa"/>
              <w:left w:w="100" w:type="dxa"/>
              <w:right w:w="100" w:type="dxa"/>
            </w:tcMar>
          </w:tcPr>
          <w:p>
            <w:pPr>
              <w:spacing w:after="0"/>
            </w:pPr>
            <w:r>
              <w:rPr>
                <w:b/>
                <w:color w:val="502814"/>
                <w:sz w:val="19"/>
              </w:rPr>
              <w:t>Project:</w:t>
            </w:r>
          </w:p>
        </w:tc>
        <w:tc>
          <w:tcPr>
            <w:tcW w:type="dxa" w:w="7200"/>
            <w:shd w:fill="FAF7F2"/>
            <w:tcMar>
              <w:top w:w="60" w:type="dxa"/>
              <w:bottom w:w="60" w:type="dxa"/>
              <w:left w:w="100" w:type="dxa"/>
              <w:right w:w="100" w:type="dxa"/>
            </w:tcMar>
          </w:tcPr>
          <w:p>
            <w:pPr>
              <w:spacing w:after="0"/>
            </w:pPr>
            <w:r>
              <w:rPr>
                <w:color w:val="323232"/>
                <w:sz w:val="19"/>
              </w:rPr>
              <w:t>Antigravity Indian Cultural Heritage Knowledge Platform (Hampi, Karnataka)</w:t>
            </w:r>
          </w:p>
        </w:tc>
      </w:tr>
      <w:tr>
        <w:tc>
          <w:tcPr>
            <w:tcW w:type="dxa" w:w="2592"/>
            <w:shd w:fill="F2ECE4"/>
            <w:tcMar>
              <w:top w:w="60" w:type="dxa"/>
              <w:bottom w:w="60" w:type="dxa"/>
              <w:left w:w="100" w:type="dxa"/>
              <w:right w:w="100" w:type="dxa"/>
            </w:tcMar>
          </w:tcPr>
          <w:p>
            <w:pPr>
              <w:spacing w:after="0"/>
            </w:pPr>
            <w:r>
              <w:rPr>
                <w:b/>
                <w:color w:val="502814"/>
                <w:sz w:val="19"/>
              </w:rPr>
              <w:t>Research Team:</w:t>
            </w:r>
          </w:p>
        </w:tc>
        <w:tc>
          <w:tcPr>
            <w:tcW w:type="dxa" w:w="7200"/>
            <w:shd w:fill="FAF7F2"/>
            <w:tcMar>
              <w:top w:w="60" w:type="dxa"/>
              <w:bottom w:w="60" w:type="dxa"/>
              <w:left w:w="100" w:type="dxa"/>
              <w:right w:w="100" w:type="dxa"/>
            </w:tcMar>
          </w:tcPr>
          <w:p>
            <w:pPr>
              <w:spacing w:after="0"/>
            </w:pPr>
            <w:r>
              <w:rPr>
                <w:color w:val="323232"/>
                <w:sz w:val="19"/>
              </w:rPr>
              <w:t>Historians, Epigraphists, Archaeologists, Architectural Historians, Anthropologists, Digital Knowledge Architects</w:t>
            </w:r>
          </w:p>
        </w:tc>
      </w:tr>
      <w:tr>
        <w:tc>
          <w:tcPr>
            <w:tcW w:type="dxa" w:w="2592"/>
            <w:shd w:fill="F2ECE4"/>
            <w:tcMar>
              <w:top w:w="60" w:type="dxa"/>
              <w:bottom w:w="60" w:type="dxa"/>
              <w:left w:w="100" w:type="dxa"/>
              <w:right w:w="100" w:type="dxa"/>
            </w:tcMar>
          </w:tcPr>
          <w:p>
            <w:pPr>
              <w:spacing w:after="0"/>
            </w:pPr>
            <w:r>
              <w:rPr>
                <w:b/>
                <w:color w:val="502814"/>
                <w:sz w:val="19"/>
              </w:rPr>
              <w:t>Source Hierarchy:</w:t>
            </w:r>
          </w:p>
        </w:tc>
        <w:tc>
          <w:tcPr>
            <w:tcW w:type="dxa" w:w="7200"/>
            <w:shd w:fill="FAF7F2"/>
            <w:tcMar>
              <w:top w:w="60" w:type="dxa"/>
              <w:bottom w:w="60" w:type="dxa"/>
              <w:left w:w="100" w:type="dxa"/>
              <w:right w:w="100" w:type="dxa"/>
            </w:tcMar>
          </w:tcPr>
          <w:p>
            <w:pPr>
              <w:spacing w:after="0"/>
            </w:pPr>
            <w:r>
              <w:rPr>
                <w:color w:val="323232"/>
                <w:sz w:val="19"/>
              </w:rPr>
              <w:t>Tier 1 (UNESCO, ASI, State Epigraphy) &amp; Tier 2 (Academic Monographs &amp; Journals)</w:t>
            </w:r>
          </w:p>
        </w:tc>
      </w:tr>
      <w:tr>
        <w:tc>
          <w:tcPr>
            <w:tcW w:type="dxa" w:w="2592"/>
            <w:shd w:fill="F2ECE4"/>
            <w:tcMar>
              <w:top w:w="60" w:type="dxa"/>
              <w:bottom w:w="60" w:type="dxa"/>
              <w:left w:w="100" w:type="dxa"/>
              <w:right w:w="100" w:type="dxa"/>
            </w:tcMar>
          </w:tcPr>
          <w:p>
            <w:pPr>
              <w:spacing w:after="0"/>
            </w:pPr>
            <w:r>
              <w:rPr>
                <w:b/>
                <w:color w:val="502814"/>
                <w:sz w:val="19"/>
              </w:rPr>
              <w:t>Geographical Context:</w:t>
            </w:r>
          </w:p>
        </w:tc>
        <w:tc>
          <w:tcPr>
            <w:tcW w:type="dxa" w:w="7200"/>
            <w:shd w:fill="FAF7F2"/>
            <w:tcMar>
              <w:top w:w="60" w:type="dxa"/>
              <w:bottom w:w="60" w:type="dxa"/>
              <w:left w:w="100" w:type="dxa"/>
              <w:right w:w="100" w:type="dxa"/>
            </w:tcMar>
          </w:tcPr>
          <w:p>
            <w:pPr>
              <w:spacing w:after="0"/>
            </w:pPr>
            <w:r>
              <w:rPr>
                <w:color w:val="323232"/>
                <w:sz w:val="19"/>
              </w:rPr>
              <w:t>Hampi World Heritage Site, Vijayanagara Metropolitan Region, Bellary/Vijayanagara Dist, Karnataka</w:t>
            </w:r>
          </w:p>
        </w:tc>
      </w:tr>
    </w:tbl>
    <w:p>
      <w:pPr>
        <w:spacing w:after="160"/>
      </w:pPr>
    </w:p>
    <w:p>
      <w:pPr>
        <w:keepNext/>
        <w:spacing w:before="280" w:after="80"/>
      </w:pPr>
      <w:r>
        <w:rPr>
          <w:rFonts w:ascii="Georgia" w:hAnsi="Georgia"/>
          <w:b/>
          <w:color w:val="8C2D19"/>
          <w:sz w:val="30"/>
        </w:rPr>
        <w:t>Part 1 — Executive Summary</w:t>
      </w:r>
    </w:p>
    <w:p>
      <w:pPr>
        <w:spacing w:after="100" w:line="276" w:lineRule="auto"/>
      </w:pPr>
      <w:r>
        <w:t>This Master Research Compendium represents the definitive, multidisciplinary cultural heritage synthesis of Hampi, Karnataka, India—the grand medieval capital of the Vijayanagara Empire (1336–1565 CE) and a premier UNESCO World Heritage Site. Spanning over 41.87 square kilometers of protected core terrain along the Tungabhadra River, Hampi preserves more than 1,600 surviving architectural monuments set amidst an Archean granite boulder landscape. This compendium integrates rigorous historical epigraphy, archaeological excavation data, architectural analysis, religious anthropology, and digital knowledge base schemas.</w:t>
      </w:r>
    </w:p>
    <w:p>
      <w:pPr>
        <w:keepNext/>
        <w:spacing w:before="280" w:after="80"/>
      </w:pPr>
      <w:r>
        <w:rPr>
          <w:rFonts w:ascii="Georgia" w:hAnsi="Georgia"/>
          <w:b/>
          <w:color w:val="8C2D19"/>
          <w:sz w:val="30"/>
        </w:rPr>
        <w:t>Part 2 — What Makes Hampi Unique?</w:t>
      </w:r>
    </w:p>
    <w:p>
      <w:pPr>
        <w:spacing w:after="100" w:line="276" w:lineRule="auto"/>
      </w:pPr>
      <w:r>
        <w:t>Hampi is globally unique due to five intertwined attributes:</w:t>
        <w:br/>
        <w:t>1. The Living-Sacred Matrix: Continuous worship at the 7th-century Virupaksha Temple amidst an ancient ruined metropolis.</w:t>
        <w:br/>
        <w:t>2. Monumental Granite Stereotomy: Monolithic engineering exemplified by the 6.7m Lakshmi Narasimha, 4.6m Kadalekalu Ganesha, and the Vittala Stone Chariot.</w:t>
        <w:br/>
        <w:t>3. Acoustic Architectural Science: The 56 resonant monolithic musical pillars of the Vittala Mahamandapa vibrating at precise modal frequencies.</w:t>
        <w:br/>
        <w:t>4. Agro-Hydraulic Network: Massive gravity-fed stone aqueducts, check dams (anicuts), and canals transforming a semi-arid zone into a lush oasis.</w:t>
        <w:br/>
        <w:t>5. Bicultural Architectural Synthesis: Harmonious integration of mature Dravidian temple traditions with innovative Indo-Islamic vaulted styles in civic and courtly pavilions.</w:t>
      </w:r>
    </w:p>
    <w:p>
      <w:pPr>
        <w:keepNext/>
        <w:spacing w:before="280" w:after="80"/>
      </w:pPr>
      <w:r>
        <w:rPr>
          <w:rFonts w:ascii="Georgia" w:hAnsi="Georgia"/>
          <w:b/>
          <w:color w:val="8C2D19"/>
          <w:sz w:val="30"/>
        </w:rPr>
        <w:t>Part 3 — Geographic Context &amp; Sacred Geomorphology</w:t>
      </w:r>
    </w:p>
    <w:p>
      <w:pPr>
        <w:spacing w:after="100" w:line="276" w:lineRule="auto"/>
      </w:pPr>
      <w:r>
        <w:t>Located in the central Deccan plateau (15° 20' N, 76° 27' E) in Vijayanagara District, Karnataka, Hampi's terrain is formed of 2.5-billion-year-old Closepet Granites. Sacred peaks—including Matanga Hill (619m, central observation apex), Hemakuta Hill (584m, pre-Vijayanagara shrines), Anjanadri Hill (Hanuman birth shrine), and Malyavanta Hill—anchor the sacred riverine topography along the swirling gorge of the Tungabhadra River.</w:t>
      </w:r>
    </w:p>
    <w:p>
      <w:pPr>
        <w:keepNext/>
        <w:spacing w:before="280" w:after="80"/>
      </w:pPr>
      <w:r>
        <w:rPr>
          <w:rFonts w:ascii="Georgia" w:hAnsi="Georgia"/>
          <w:b/>
          <w:color w:val="8C2D19"/>
          <w:sz w:val="30"/>
        </w:rPr>
        <w:t>Part 4 — Master Chronological Timeline</w:t>
      </w:r>
    </w:p>
    <w:tbl>
      <w:tblPr>
        <w:tblW w:type="auto" w:w="0"/>
        <w:jc w:val="center"/>
        <w:tblLook w:firstColumn="1" w:firstRow="1" w:lastColumn="0" w:lastRow="0" w:noHBand="0" w:noVBand="1" w:val="04A0"/>
      </w:tblPr>
      <w:tblGrid>
        <w:gridCol w:w="3312"/>
        <w:gridCol w:w="3312"/>
        <w:gridCol w:w="3312"/>
      </w:tblGrid>
      <w:tr>
        <w:tc>
          <w:tcPr>
            <w:tcW w:type="dxa" w:w="2160"/>
            <w:shd w:fill="78321E"/>
            <w:tcMar>
              <w:top w:w="100" w:type="dxa"/>
              <w:bottom w:w="100" w:type="dxa"/>
              <w:left w:w="120" w:type="dxa"/>
              <w:right w:w="120" w:type="dxa"/>
            </w:tcMar>
          </w:tcPr>
          <w:p>
            <w:pPr>
              <w:spacing w:after="0"/>
            </w:pPr>
            <w:r>
              <w:rPr>
                <w:b/>
                <w:color w:val="FFFFFF"/>
                <w:sz w:val="19"/>
              </w:rPr>
              <w:t>Era / Date</w:t>
            </w:r>
          </w:p>
        </w:tc>
        <w:tc>
          <w:tcPr>
            <w:tcW w:type="dxa" w:w="4032"/>
            <w:shd w:fill="78321E"/>
            <w:tcMar>
              <w:top w:w="100" w:type="dxa"/>
              <w:bottom w:w="100" w:type="dxa"/>
              <w:left w:w="120" w:type="dxa"/>
              <w:right w:w="120" w:type="dxa"/>
            </w:tcMar>
          </w:tcPr>
          <w:p>
            <w:pPr>
              <w:spacing w:after="0"/>
            </w:pPr>
            <w:r>
              <w:rPr>
                <w:b/>
                <w:color w:val="FFFFFF"/>
                <w:sz w:val="19"/>
              </w:rPr>
              <w:t>Key Milestone</w:t>
            </w:r>
          </w:p>
        </w:tc>
        <w:tc>
          <w:tcPr>
            <w:tcW w:type="dxa" w:w="3600"/>
            <w:shd w:fill="78321E"/>
            <w:tcMar>
              <w:top w:w="100" w:type="dxa"/>
              <w:bottom w:w="100" w:type="dxa"/>
              <w:left w:w="120" w:type="dxa"/>
              <w:right w:w="120" w:type="dxa"/>
            </w:tcMar>
          </w:tcPr>
          <w:p>
            <w:pPr>
              <w:spacing w:after="0"/>
            </w:pPr>
            <w:r>
              <w:rPr>
                <w:b/>
                <w:color w:val="FFFFFF"/>
                <w:sz w:val="19"/>
              </w:rPr>
              <w:t>Epistemic Context &amp; Sources</w:t>
            </w:r>
          </w:p>
        </w:tc>
      </w:tr>
      <w:tr>
        <w:tc>
          <w:tcPr>
            <w:tcW w:type="dxa" w:w="2160"/>
            <w:shd w:fill="FAF6F0"/>
            <w:tcMar>
              <w:top w:w="80" w:type="dxa"/>
              <w:bottom w:w="80" w:type="dxa"/>
              <w:left w:w="100" w:type="dxa"/>
              <w:right w:w="100" w:type="dxa"/>
            </w:tcMar>
          </w:tcPr>
          <w:p>
            <w:pPr>
              <w:spacing w:after="0"/>
            </w:pPr>
            <w:r>
              <w:rPr>
                <w:color w:val="2D2D2D"/>
                <w:sz w:val="18"/>
              </w:rPr>
              <w:t>c. 250 BCE</w:t>
            </w:r>
          </w:p>
        </w:tc>
        <w:tc>
          <w:tcPr>
            <w:tcW w:type="dxa" w:w="4032"/>
            <w:shd w:fill="FAF6F0"/>
            <w:tcMar>
              <w:top w:w="80" w:type="dxa"/>
              <w:bottom w:w="80" w:type="dxa"/>
              <w:left w:w="100" w:type="dxa"/>
              <w:right w:w="100" w:type="dxa"/>
            </w:tcMar>
          </w:tcPr>
          <w:p>
            <w:pPr>
              <w:spacing w:after="0"/>
            </w:pPr>
            <w:r>
              <w:rPr>
                <w:color w:val="2D2D2D"/>
                <w:sz w:val="18"/>
              </w:rPr>
              <w:t>Ashokan Edicts at Nittur &amp; Udegolam</w:t>
            </w:r>
          </w:p>
        </w:tc>
        <w:tc>
          <w:tcPr>
            <w:tcW w:type="dxa" w:w="3600"/>
            <w:shd w:fill="FAF6F0"/>
            <w:tcMar>
              <w:top w:w="80" w:type="dxa"/>
              <w:bottom w:w="80" w:type="dxa"/>
              <w:left w:w="100" w:type="dxa"/>
              <w:right w:w="100" w:type="dxa"/>
            </w:tcMar>
          </w:tcPr>
          <w:p>
            <w:pPr>
              <w:spacing w:after="0"/>
            </w:pPr>
            <w:r>
              <w:rPr>
                <w:color w:val="2D2D2D"/>
                <w:sz w:val="18"/>
              </w:rPr>
              <w:t>Brahmi rock inscriptions proving Mauryan rule</w:t>
            </w:r>
          </w:p>
        </w:tc>
      </w:tr>
      <w:tr>
        <w:tc>
          <w:tcPr>
            <w:tcW w:type="dxa" w:w="2160"/>
            <w:shd w:fill="FFFFFF"/>
            <w:tcMar>
              <w:top w:w="80" w:type="dxa"/>
              <w:bottom w:w="80" w:type="dxa"/>
              <w:left w:w="100" w:type="dxa"/>
              <w:right w:w="100" w:type="dxa"/>
            </w:tcMar>
          </w:tcPr>
          <w:p>
            <w:pPr>
              <w:spacing w:after="0"/>
            </w:pPr>
            <w:r>
              <w:rPr>
                <w:color w:val="2D2D2D"/>
                <w:sz w:val="18"/>
              </w:rPr>
              <w:t>7th–11th c. CE</w:t>
            </w:r>
          </w:p>
        </w:tc>
        <w:tc>
          <w:tcPr>
            <w:tcW w:type="dxa" w:w="4032"/>
            <w:shd w:fill="FFFFFF"/>
            <w:tcMar>
              <w:top w:w="80" w:type="dxa"/>
              <w:bottom w:w="80" w:type="dxa"/>
              <w:left w:w="100" w:type="dxa"/>
              <w:right w:w="100" w:type="dxa"/>
            </w:tcMar>
          </w:tcPr>
          <w:p>
            <w:pPr>
              <w:spacing w:after="0"/>
            </w:pPr>
            <w:r>
              <w:rPr>
                <w:color w:val="2D2D2D"/>
                <w:sz w:val="18"/>
              </w:rPr>
              <w:t>Pampa Tirtha &amp; Early Chalukya shrines</w:t>
            </w:r>
          </w:p>
        </w:tc>
        <w:tc>
          <w:tcPr>
            <w:tcW w:type="dxa" w:w="3600"/>
            <w:shd w:fill="FFFFFF"/>
            <w:tcMar>
              <w:top w:w="80" w:type="dxa"/>
              <w:bottom w:w="80" w:type="dxa"/>
              <w:left w:w="100" w:type="dxa"/>
              <w:right w:w="100" w:type="dxa"/>
            </w:tcMar>
          </w:tcPr>
          <w:p>
            <w:pPr>
              <w:spacing w:after="0"/>
            </w:pPr>
            <w:r>
              <w:rPr>
                <w:color w:val="2D2D2D"/>
                <w:sz w:val="18"/>
              </w:rPr>
              <w:t>Hemakuta structural shrines and Virupaksha grants</w:t>
            </w:r>
          </w:p>
        </w:tc>
      </w:tr>
      <w:tr>
        <w:tc>
          <w:tcPr>
            <w:tcW w:type="dxa" w:w="2160"/>
            <w:shd w:fill="FAF6F0"/>
            <w:tcMar>
              <w:top w:w="80" w:type="dxa"/>
              <w:bottom w:w="80" w:type="dxa"/>
              <w:left w:w="100" w:type="dxa"/>
              <w:right w:w="100" w:type="dxa"/>
            </w:tcMar>
          </w:tcPr>
          <w:p>
            <w:pPr>
              <w:spacing w:after="0"/>
            </w:pPr>
            <w:r>
              <w:rPr>
                <w:color w:val="2D2D2D"/>
                <w:sz w:val="18"/>
              </w:rPr>
              <w:t>1336 CE</w:t>
            </w:r>
          </w:p>
        </w:tc>
        <w:tc>
          <w:tcPr>
            <w:tcW w:type="dxa" w:w="4032"/>
            <w:shd w:fill="FAF6F0"/>
            <w:tcMar>
              <w:top w:w="80" w:type="dxa"/>
              <w:bottom w:w="80" w:type="dxa"/>
              <w:left w:w="100" w:type="dxa"/>
              <w:right w:w="100" w:type="dxa"/>
            </w:tcMar>
          </w:tcPr>
          <w:p>
            <w:pPr>
              <w:spacing w:after="0"/>
            </w:pPr>
            <w:r>
              <w:rPr>
                <w:color w:val="2D2D2D"/>
                <w:sz w:val="18"/>
              </w:rPr>
              <w:t>Foundation of Vijayanagara by Sangama brothers</w:t>
            </w:r>
          </w:p>
        </w:tc>
        <w:tc>
          <w:tcPr>
            <w:tcW w:type="dxa" w:w="3600"/>
            <w:shd w:fill="FAF6F0"/>
            <w:tcMar>
              <w:top w:w="80" w:type="dxa"/>
              <w:bottom w:w="80" w:type="dxa"/>
              <w:left w:w="100" w:type="dxa"/>
              <w:right w:w="100" w:type="dxa"/>
            </w:tcMar>
          </w:tcPr>
          <w:p>
            <w:pPr>
              <w:spacing w:after="0"/>
            </w:pPr>
            <w:r>
              <w:rPr>
                <w:color w:val="2D2D2D"/>
                <w:sz w:val="18"/>
              </w:rPr>
              <w:t>Kapaluru copper plates; Vidyaranya tradition</w:t>
            </w:r>
          </w:p>
        </w:tc>
      </w:tr>
      <w:tr>
        <w:tc>
          <w:tcPr>
            <w:tcW w:type="dxa" w:w="2160"/>
            <w:shd w:fill="FFFFFF"/>
            <w:tcMar>
              <w:top w:w="80" w:type="dxa"/>
              <w:bottom w:w="80" w:type="dxa"/>
              <w:left w:w="100" w:type="dxa"/>
              <w:right w:w="100" w:type="dxa"/>
            </w:tcMar>
          </w:tcPr>
          <w:p>
            <w:pPr>
              <w:spacing w:after="0"/>
            </w:pPr>
            <w:r>
              <w:rPr>
                <w:color w:val="2D2D2D"/>
                <w:sz w:val="18"/>
              </w:rPr>
              <w:t>1443 CE</w:t>
            </w:r>
          </w:p>
        </w:tc>
        <w:tc>
          <w:tcPr>
            <w:tcW w:type="dxa" w:w="4032"/>
            <w:shd w:fill="FFFFFF"/>
            <w:tcMar>
              <w:top w:w="80" w:type="dxa"/>
              <w:bottom w:w="80" w:type="dxa"/>
              <w:left w:w="100" w:type="dxa"/>
              <w:right w:w="100" w:type="dxa"/>
            </w:tcMar>
          </w:tcPr>
          <w:p>
            <w:pPr>
              <w:spacing w:after="0"/>
            </w:pPr>
            <w:r>
              <w:rPr>
                <w:color w:val="2D2D2D"/>
                <w:sz w:val="18"/>
              </w:rPr>
              <w:t>Persian Ambassador Abd al-Razzaq visits</w:t>
            </w:r>
          </w:p>
        </w:tc>
        <w:tc>
          <w:tcPr>
            <w:tcW w:type="dxa" w:w="3600"/>
            <w:shd w:fill="FFFFFF"/>
            <w:tcMar>
              <w:top w:w="80" w:type="dxa"/>
              <w:bottom w:w="80" w:type="dxa"/>
              <w:left w:w="100" w:type="dxa"/>
              <w:right w:w="100" w:type="dxa"/>
            </w:tcMar>
          </w:tcPr>
          <w:p>
            <w:pPr>
              <w:spacing w:after="0"/>
            </w:pPr>
            <w:r>
              <w:rPr>
                <w:color w:val="2D2D2D"/>
                <w:sz w:val="18"/>
              </w:rPr>
              <w:t>Describes 7 concentric fortified circuits &amp; gem bazaars</w:t>
            </w:r>
          </w:p>
        </w:tc>
      </w:tr>
      <w:tr>
        <w:tc>
          <w:tcPr>
            <w:tcW w:type="dxa" w:w="2160"/>
            <w:shd w:fill="FAF6F0"/>
            <w:tcMar>
              <w:top w:w="80" w:type="dxa"/>
              <w:bottom w:w="80" w:type="dxa"/>
              <w:left w:w="100" w:type="dxa"/>
              <w:right w:w="100" w:type="dxa"/>
            </w:tcMar>
          </w:tcPr>
          <w:p>
            <w:pPr>
              <w:spacing w:after="0"/>
            </w:pPr>
            <w:r>
              <w:rPr>
                <w:color w:val="2D2D2D"/>
                <w:sz w:val="18"/>
              </w:rPr>
              <w:t>1509–1529 CE</w:t>
            </w:r>
          </w:p>
        </w:tc>
        <w:tc>
          <w:tcPr>
            <w:tcW w:type="dxa" w:w="4032"/>
            <w:shd w:fill="FAF6F0"/>
            <w:tcMar>
              <w:top w:w="80" w:type="dxa"/>
              <w:bottom w:w="80" w:type="dxa"/>
              <w:left w:w="100" w:type="dxa"/>
              <w:right w:w="100" w:type="dxa"/>
            </w:tcMar>
          </w:tcPr>
          <w:p>
            <w:pPr>
              <w:spacing w:after="0"/>
            </w:pPr>
            <w:r>
              <w:rPr>
                <w:color w:val="2D2D2D"/>
                <w:sz w:val="18"/>
              </w:rPr>
              <w:t>Golden Age of Emperor Krishnadevaraya</w:t>
            </w:r>
          </w:p>
        </w:tc>
        <w:tc>
          <w:tcPr>
            <w:tcW w:type="dxa" w:w="3600"/>
            <w:shd w:fill="FAF6F0"/>
            <w:tcMar>
              <w:top w:w="80" w:type="dxa"/>
              <w:bottom w:w="80" w:type="dxa"/>
              <w:left w:w="100" w:type="dxa"/>
              <w:right w:w="100" w:type="dxa"/>
            </w:tcMar>
          </w:tcPr>
          <w:p>
            <w:pPr>
              <w:spacing w:after="0"/>
            </w:pPr>
            <w:r>
              <w:rPr>
                <w:color w:val="2D2D2D"/>
                <w:sz w:val="18"/>
              </w:rPr>
              <w:t>Consecration of Krishna, Hazara Rama, Vittala temples</w:t>
            </w:r>
          </w:p>
        </w:tc>
      </w:tr>
      <w:tr>
        <w:tc>
          <w:tcPr>
            <w:tcW w:type="dxa" w:w="2160"/>
            <w:shd w:fill="FFFFFF"/>
            <w:tcMar>
              <w:top w:w="80" w:type="dxa"/>
              <w:bottom w:w="80" w:type="dxa"/>
              <w:left w:w="100" w:type="dxa"/>
              <w:right w:w="100" w:type="dxa"/>
            </w:tcMar>
          </w:tcPr>
          <w:p>
            <w:pPr>
              <w:spacing w:after="0"/>
            </w:pPr>
            <w:r>
              <w:rPr>
                <w:color w:val="2D2D2D"/>
                <w:sz w:val="18"/>
              </w:rPr>
              <w:t>1534 CE</w:t>
            </w:r>
          </w:p>
        </w:tc>
        <w:tc>
          <w:tcPr>
            <w:tcW w:type="dxa" w:w="4032"/>
            <w:shd w:fill="FFFFFF"/>
            <w:tcMar>
              <w:top w:w="80" w:type="dxa"/>
              <w:bottom w:w="80" w:type="dxa"/>
              <w:left w:w="100" w:type="dxa"/>
              <w:right w:w="100" w:type="dxa"/>
            </w:tcMar>
          </w:tcPr>
          <w:p>
            <w:pPr>
              <w:spacing w:after="0"/>
            </w:pPr>
            <w:r>
              <w:rPr>
                <w:color w:val="2D2D2D"/>
                <w:sz w:val="18"/>
              </w:rPr>
              <w:t>Achyutaraya commissions Tiruvengalanatha complex</w:t>
            </w:r>
          </w:p>
        </w:tc>
        <w:tc>
          <w:tcPr>
            <w:tcW w:type="dxa" w:w="3600"/>
            <w:shd w:fill="FFFFFF"/>
            <w:tcMar>
              <w:top w:w="80" w:type="dxa"/>
              <w:bottom w:w="80" w:type="dxa"/>
              <w:left w:w="100" w:type="dxa"/>
              <w:right w:w="100" w:type="dxa"/>
            </w:tcMar>
          </w:tcPr>
          <w:p>
            <w:pPr>
              <w:spacing w:after="0"/>
            </w:pPr>
            <w:r>
              <w:rPr>
                <w:color w:val="2D2D2D"/>
                <w:sz w:val="18"/>
              </w:rPr>
              <w:t>Achyutaraya entrance gopuram inscription</w:t>
            </w:r>
          </w:p>
        </w:tc>
      </w:tr>
      <w:tr>
        <w:tc>
          <w:tcPr>
            <w:tcW w:type="dxa" w:w="2160"/>
            <w:shd w:fill="FAF6F0"/>
            <w:tcMar>
              <w:top w:w="80" w:type="dxa"/>
              <w:bottom w:w="80" w:type="dxa"/>
              <w:left w:w="100" w:type="dxa"/>
              <w:right w:w="100" w:type="dxa"/>
            </w:tcMar>
          </w:tcPr>
          <w:p>
            <w:pPr>
              <w:spacing w:after="0"/>
            </w:pPr>
            <w:r>
              <w:rPr>
                <w:color w:val="2D2D2D"/>
                <w:sz w:val="18"/>
              </w:rPr>
              <w:t>1565 CE (23 Jan)</w:t>
            </w:r>
          </w:p>
        </w:tc>
        <w:tc>
          <w:tcPr>
            <w:tcW w:type="dxa" w:w="4032"/>
            <w:shd w:fill="FAF6F0"/>
            <w:tcMar>
              <w:top w:w="80" w:type="dxa"/>
              <w:bottom w:w="80" w:type="dxa"/>
              <w:left w:w="100" w:type="dxa"/>
              <w:right w:w="100" w:type="dxa"/>
            </w:tcMar>
          </w:tcPr>
          <w:p>
            <w:pPr>
              <w:spacing w:after="0"/>
            </w:pPr>
            <w:r>
              <w:rPr>
                <w:color w:val="2D2D2D"/>
                <w:sz w:val="18"/>
              </w:rPr>
              <w:t>Battle of Talikota (Rakshasi-Tangadi)</w:t>
            </w:r>
          </w:p>
        </w:tc>
        <w:tc>
          <w:tcPr>
            <w:tcW w:type="dxa" w:w="3600"/>
            <w:shd w:fill="FAF6F0"/>
            <w:tcMar>
              <w:top w:w="80" w:type="dxa"/>
              <w:bottom w:w="80" w:type="dxa"/>
              <w:left w:w="100" w:type="dxa"/>
              <w:right w:w="100" w:type="dxa"/>
            </w:tcMar>
          </w:tcPr>
          <w:p>
            <w:pPr>
              <w:spacing w:after="0"/>
            </w:pPr>
            <w:r>
              <w:rPr>
                <w:color w:val="2D2D2D"/>
                <w:sz w:val="18"/>
              </w:rPr>
              <w:t>Confederate Sultanate victory; sack of capital</w:t>
            </w:r>
          </w:p>
        </w:tc>
      </w:tr>
      <w:tr>
        <w:tc>
          <w:tcPr>
            <w:tcW w:type="dxa" w:w="2160"/>
            <w:shd w:fill="FFFFFF"/>
            <w:tcMar>
              <w:top w:w="80" w:type="dxa"/>
              <w:bottom w:w="80" w:type="dxa"/>
              <w:left w:w="100" w:type="dxa"/>
              <w:right w:w="100" w:type="dxa"/>
            </w:tcMar>
          </w:tcPr>
          <w:p>
            <w:pPr>
              <w:spacing w:after="0"/>
            </w:pPr>
            <w:r>
              <w:rPr>
                <w:color w:val="2D2D2D"/>
                <w:sz w:val="18"/>
              </w:rPr>
              <w:t>1799 CE</w:t>
            </w:r>
          </w:p>
        </w:tc>
        <w:tc>
          <w:tcPr>
            <w:tcW w:type="dxa" w:w="4032"/>
            <w:shd w:fill="FFFFFF"/>
            <w:tcMar>
              <w:top w:w="80" w:type="dxa"/>
              <w:bottom w:w="80" w:type="dxa"/>
              <w:left w:w="100" w:type="dxa"/>
              <w:right w:w="100" w:type="dxa"/>
            </w:tcMar>
          </w:tcPr>
          <w:p>
            <w:pPr>
              <w:spacing w:after="0"/>
            </w:pPr>
            <w:r>
              <w:rPr>
                <w:color w:val="2D2D2D"/>
                <w:sz w:val="18"/>
              </w:rPr>
              <w:t>Colin Mackenzie initiates first modern survey</w:t>
            </w:r>
          </w:p>
        </w:tc>
        <w:tc>
          <w:tcPr>
            <w:tcW w:type="dxa" w:w="3600"/>
            <w:shd w:fill="FFFFFF"/>
            <w:tcMar>
              <w:top w:w="80" w:type="dxa"/>
              <w:bottom w:w="80" w:type="dxa"/>
              <w:left w:w="100" w:type="dxa"/>
              <w:right w:w="100" w:type="dxa"/>
            </w:tcMar>
          </w:tcPr>
          <w:p>
            <w:pPr>
              <w:spacing w:after="0"/>
            </w:pPr>
            <w:r>
              <w:rPr>
                <w:color w:val="2D2D2D"/>
                <w:sz w:val="18"/>
              </w:rPr>
              <w:t>Mackenzie Collection topographical maps</w:t>
            </w:r>
          </w:p>
        </w:tc>
      </w:tr>
      <w:tr>
        <w:tc>
          <w:tcPr>
            <w:tcW w:type="dxa" w:w="2160"/>
            <w:shd w:fill="FAF6F0"/>
            <w:tcMar>
              <w:top w:w="80" w:type="dxa"/>
              <w:bottom w:w="80" w:type="dxa"/>
              <w:left w:w="100" w:type="dxa"/>
              <w:right w:w="100" w:type="dxa"/>
            </w:tcMar>
          </w:tcPr>
          <w:p>
            <w:pPr>
              <w:spacing w:after="0"/>
            </w:pPr>
            <w:r>
              <w:rPr>
                <w:color w:val="2D2D2D"/>
                <w:sz w:val="18"/>
              </w:rPr>
              <w:t>1986 CE</w:t>
            </w:r>
          </w:p>
        </w:tc>
        <w:tc>
          <w:tcPr>
            <w:tcW w:type="dxa" w:w="4032"/>
            <w:shd w:fill="FAF6F0"/>
            <w:tcMar>
              <w:top w:w="80" w:type="dxa"/>
              <w:bottom w:w="80" w:type="dxa"/>
              <w:left w:w="100" w:type="dxa"/>
              <w:right w:w="100" w:type="dxa"/>
            </w:tcMar>
          </w:tcPr>
          <w:p>
            <w:pPr>
              <w:spacing w:after="0"/>
            </w:pPr>
            <w:r>
              <w:rPr>
                <w:color w:val="2D2D2D"/>
                <w:sz w:val="18"/>
              </w:rPr>
              <w:t>Inscribed as UNESCO World Heritage Site #241</w:t>
            </w:r>
          </w:p>
        </w:tc>
        <w:tc>
          <w:tcPr>
            <w:tcW w:type="dxa" w:w="3600"/>
            <w:shd w:fill="FAF6F0"/>
            <w:tcMar>
              <w:top w:w="80" w:type="dxa"/>
              <w:bottom w:w="80" w:type="dxa"/>
              <w:left w:w="100" w:type="dxa"/>
              <w:right w:w="100" w:type="dxa"/>
            </w:tcMar>
          </w:tcPr>
          <w:p>
            <w:pPr>
              <w:spacing w:after="0"/>
            </w:pPr>
            <w:r>
              <w:rPr>
                <w:color w:val="2D2D2D"/>
                <w:sz w:val="18"/>
              </w:rPr>
              <w:t>Criteria (i), (iii), and (iv)</w:t>
            </w:r>
          </w:p>
        </w:tc>
      </w:tr>
      <w:tr>
        <w:tc>
          <w:tcPr>
            <w:tcW w:type="dxa" w:w="2160"/>
            <w:shd w:fill="FFFFFF"/>
            <w:tcMar>
              <w:top w:w="80" w:type="dxa"/>
              <w:bottom w:w="80" w:type="dxa"/>
              <w:left w:w="100" w:type="dxa"/>
              <w:right w:w="100" w:type="dxa"/>
            </w:tcMar>
          </w:tcPr>
          <w:p>
            <w:pPr>
              <w:spacing w:after="0"/>
            </w:pPr>
            <w:r>
              <w:rPr>
                <w:color w:val="2D2D2D"/>
                <w:sz w:val="18"/>
              </w:rPr>
              <w:t>2021 CE (Oct 2)</w:t>
            </w:r>
          </w:p>
        </w:tc>
        <w:tc>
          <w:tcPr>
            <w:tcW w:type="dxa" w:w="4032"/>
            <w:shd w:fill="FFFFFF"/>
            <w:tcMar>
              <w:top w:w="80" w:type="dxa"/>
              <w:bottom w:w="80" w:type="dxa"/>
              <w:left w:w="100" w:type="dxa"/>
              <w:right w:w="100" w:type="dxa"/>
            </w:tcMar>
          </w:tcPr>
          <w:p>
            <w:pPr>
              <w:spacing w:after="0"/>
            </w:pPr>
            <w:r>
              <w:rPr>
                <w:color w:val="2D2D2D"/>
                <w:sz w:val="18"/>
              </w:rPr>
              <w:t>Creation of Vijayanagara as 31st District</w:t>
            </w:r>
          </w:p>
        </w:tc>
        <w:tc>
          <w:tcPr>
            <w:tcW w:type="dxa" w:w="3600"/>
            <w:shd w:fill="FFFFFF"/>
            <w:tcMar>
              <w:top w:w="80" w:type="dxa"/>
              <w:bottom w:w="80" w:type="dxa"/>
              <w:left w:w="100" w:type="dxa"/>
              <w:right w:w="100" w:type="dxa"/>
            </w:tcMar>
          </w:tcPr>
          <w:p>
            <w:pPr>
              <w:spacing w:after="0"/>
            </w:pPr>
            <w:r>
              <w:rPr>
                <w:color w:val="2D2D2D"/>
                <w:sz w:val="18"/>
              </w:rPr>
              <w:t>Government of Karnataka official notification</w:t>
            </w:r>
          </w:p>
        </w:tc>
      </w:tr>
    </w:tbl>
    <w:p>
      <w:pPr>
        <w:spacing w:after="120"/>
      </w:pPr>
    </w:p>
    <w:p>
      <w:pPr>
        <w:keepNext/>
        <w:spacing w:before="280" w:after="80"/>
      </w:pPr>
      <w:r>
        <w:rPr>
          <w:rFonts w:ascii="Georgia" w:hAnsi="Georgia"/>
          <w:b/>
          <w:color w:val="8C2D19"/>
          <w:sz w:val="30"/>
        </w:rPr>
        <w:t>Part 5 — The Vijayanagara Imperial Dynasties</w:t>
      </w:r>
    </w:p>
    <w:p>
      <w:pPr>
        <w:spacing w:after="100" w:line="276" w:lineRule="auto"/>
      </w:pPr>
      <w:r>
        <w:t>The empire was governed through four successive dynasties:</w:t>
        <w:br/>
        <w:t>• Sangama Dynasty (1336–1485 CE): Established imperial boundaries, patronized Advaita Sringeri Peetham, issued Kannada charters invoking 'Sri Virupaksha'.</w:t>
        <w:br/>
        <w:t>• Saluva Dynasty (1485–1505 CE): Military consolidation under Saluva Narasimha to counter Deccan pressures.</w:t>
        <w:br/>
        <w:t>• Tuluva Dynasty (1505–1570 CE): Imperial golden age under Krishnadevaraya and Achyutadevaraya; unprecedented temple building, literary patronage, and international horse trade.</w:t>
        <w:br/>
        <w:t>• Aravidu Dynasty (1570–1646 CE): Post-1565 relocation to Penukonda and Chandragiri under Tirumala and Venkata II before decentralization into Nayaka kingdoms.</w:t>
      </w:r>
    </w:p>
    <w:p>
      <w:pPr>
        <w:keepNext/>
        <w:spacing w:before="280" w:after="80"/>
      </w:pPr>
      <w:r>
        <w:rPr>
          <w:rFonts w:ascii="Georgia" w:hAnsi="Georgia"/>
          <w:b/>
          <w:color w:val="8C2D19"/>
          <w:sz w:val="30"/>
        </w:rPr>
        <w:t>Part 6 — Major Monumental Complexes</w:t>
      </w:r>
    </w:p>
    <w:p>
      <w:pPr>
        <w:spacing w:after="100" w:line="276" w:lineRule="auto"/>
      </w:pPr>
      <w:r>
        <w:t>• Virupaksha Complex: 52m Bistappayya Gopuram, 1510 CE Rangamantapa with Vidyaranya murals, inverted shadow pinhole chamber, living worship.</w:t>
        <w:br/>
        <w:t>• Vittala Complex: 56 acoustic composite pillars, monolithic Stone Chariot (Garuda shrine), 100-pillared Kalyanamandapa.</w:t>
        <w:br/>
        <w:t>• Hazara Rama Temple: Private royal chapel featuring 108 continuous bas-relief panels of the Valmiki Ramayana and polished basalt pillars.</w:t>
        <w:br/>
        <w:t>• Krishna Temple: Consecrated in 1513 CE by Krishnadevaraya with the Balakrishna idol captured from Udayagiri; sprawling market street.</w:t>
        <w:br/>
        <w:t>• Achyutaraya Complex: Double prakara enclosure set in the secluded valley between Matanga and Gandhamadana hills.</w:t>
        <w:br/>
        <w:t>• Monolithic Colossi: 6.7m Lakshmi Narasimha (1528 CE), 3m Badavilinga, 4.6m Kadalekalu Ganesha, and 2.4m Sasivekalu Ganesha.</w:t>
      </w:r>
    </w:p>
    <w:p>
      <w:pPr>
        <w:keepNext/>
        <w:spacing w:before="280" w:after="80"/>
      </w:pPr>
      <w:r>
        <w:rPr>
          <w:rFonts w:ascii="Georgia" w:hAnsi="Georgia"/>
          <w:b/>
          <w:color w:val="8C2D19"/>
          <w:sz w:val="30"/>
        </w:rPr>
        <w:t>Part 7 — Architectural Synthesis &amp; Engineering</w:t>
      </w:r>
    </w:p>
    <w:p>
      <w:pPr>
        <w:spacing w:after="100" w:line="276" w:lineRule="auto"/>
      </w:pPr>
      <w:r>
        <w:t>Vijayanagara architecture synthesized Chola towering gopurams, Chalukyan lathe-turned pillars, Hoysala intricate basement friezes, and Kakatiya toranas, pioneering composite monolithic piers, Pushpadodika lotus corbels, and lightweight brick-and-stucco superstructures. Secular courtly architecture (Lotus Mahal, Elephant Stables) introduced Islamic cusped arches, squinches, and domical stereotomy.</w:t>
      </w:r>
    </w:p>
    <w:p>
      <w:pPr>
        <w:keepNext/>
        <w:spacing w:before="280" w:after="80"/>
      </w:pPr>
      <w:r>
        <w:rPr>
          <w:rFonts w:ascii="Georgia" w:hAnsi="Georgia"/>
          <w:b/>
          <w:color w:val="8C2D19"/>
          <w:sz w:val="30"/>
        </w:rPr>
        <w:t>Part 8 — Religious Syncretism &amp; Living Sacred Traditions</w:t>
      </w:r>
    </w:p>
    <w:p>
      <w:pPr>
        <w:spacing w:after="100" w:line="276" w:lineRule="auto"/>
      </w:pPr>
      <w:r>
        <w:t>A multi-faith ecumenism defined imperial policy. While early rulers championed Virupaksha Shaivism, later sovereigns elevated Vaishnavism (Venkateshwara, Vittala, Rama). Digambara Jainism thrived through commanders like Iruga (Ganagitti Temple, 1386 CE), while Muslim commanders built mosques (Ahmad Khan's Mosque, 1439 CE) with royal sanction.</w:t>
      </w:r>
    </w:p>
    <w:p>
      <w:pPr>
        <w:keepNext/>
        <w:spacing w:before="280" w:after="80"/>
      </w:pPr>
      <w:r>
        <w:rPr>
          <w:rFonts w:ascii="Georgia" w:hAnsi="Georgia"/>
          <w:b/>
          <w:color w:val="8C2D19"/>
          <w:sz w:val="30"/>
        </w:rPr>
        <w:t>Part 9 — Mythology, Sthala Puranas &amp; Kishkindha Lore</w:t>
      </w:r>
    </w:p>
    <w:p>
      <w:pPr>
        <w:spacing w:after="100" w:line="276" w:lineRule="auto"/>
      </w:pPr>
      <w:r>
        <w:t>The landscape is interwoven with sacred mythology: Hemakuta as the penance ground of Pampa Devi; Anjanadri Hill across the river in Anegundi as Hanuman's birthplace; Sugriva's Cave as the cache for Sita's jewels; and Malyavanta Hill as Rama's monsoon retreat.</w:t>
      </w:r>
    </w:p>
    <w:p>
      <w:pPr>
        <w:keepNext/>
        <w:spacing w:before="280" w:after="80"/>
      </w:pPr>
      <w:r>
        <w:rPr>
          <w:rFonts w:ascii="Georgia" w:hAnsi="Georgia"/>
          <w:b/>
          <w:color w:val="8C2D19"/>
          <w:sz w:val="30"/>
        </w:rPr>
        <w:t>Part 10 to 16 — Society, Economy, Arts &amp; Literature</w:t>
      </w:r>
    </w:p>
    <w:p>
      <w:pPr>
        <w:spacing w:after="100" w:line="276" w:lineRule="auto"/>
      </w:pPr>
      <w:r>
        <w:t>• Economy &amp; Trade: Gold Pagoda/Varaha coinage, diamond mining in the Krishna basin, Arabian warhorse imports via Goa and Bhatkal, global textile exports.</w:t>
        <w:br/>
        <w:t>• Gastronomy: Millet staples (Jolada rotti, Ragi mudde), festive sweets (Holige), temple prasadam (Puliyogare, Huggi), documented in Supa Shastra (1508 CE).</w:t>
        <w:br/>
        <w:t>• Master Crafts: GI-tagged Kinnal woodcraft, granite stone carving, panchaloha bronze casting, Togalu Gombeyaata leather puppetry, and Anegundi banana fiber crafts.</w:t>
        <w:br/>
        <w:t>• Music &amp; Literature: Purandaradasa codified Carnatic classical music grammar; Emperor Krishnadevaraya and the Ashtadiggajas authored immortal Telugu and Sanskrit classics.</w:t>
      </w:r>
    </w:p>
    <w:p>
      <w:pPr>
        <w:keepNext/>
        <w:spacing w:before="280" w:after="80"/>
      </w:pPr>
      <w:r>
        <w:rPr>
          <w:rFonts w:ascii="Georgia" w:hAnsi="Georgia"/>
          <w:b/>
          <w:color w:val="8C2D19"/>
          <w:sz w:val="30"/>
        </w:rPr>
        <w:t>Part 17 to 24 — Landscape, UNESCO, Archaeology &amp; Conservation</w:t>
      </w:r>
    </w:p>
    <w:p>
      <w:pPr>
        <w:spacing w:after="100" w:line="276" w:lineRule="auto"/>
      </w:pPr>
      <w:r>
        <w:t>• Cultural Landscape &amp; Hydrology: An integrated ecosystem of river canals (Turtha, Raya, Basavanna), stepped tanks, and boulder defense circuits.</w:t>
        <w:br/>
        <w:t>• UNESCO Heritage Governance: Inscribed in 1986; protected under AMASR Act 1958 with 100m prohibited and 200m regulated zones; managed by HWHAMA.</w:t>
        <w:br/>
        <w:t>• Scientific Conservation: Implementation of non-invasive 3D laser scanning, mortar compatibility matching (lime-surkhi), and strict regulation of heavy traffic.</w:t>
      </w:r>
    </w:p>
    <w:p>
      <w:pPr>
        <w:keepNext/>
        <w:spacing w:before="280" w:after="80"/>
      </w:pPr>
      <w:r>
        <w:rPr>
          <w:rFonts w:ascii="Georgia" w:hAnsi="Georgia"/>
          <w:b/>
          <w:color w:val="8C2D19"/>
          <w:sz w:val="30"/>
        </w:rPr>
        <w:t>Part 25 to 29 — Digital Knowledge Systems, Gaps &amp; Bibliography</w:t>
      </w:r>
    </w:p>
    <w:p>
      <w:pPr>
        <w:spacing w:after="100" w:line="276" w:lineRule="auto"/>
      </w:pPr>
      <w:r>
        <w:t>• AI Conversational Corpus: 150 structured Q&amp;A pairs spanning all thematic domains.</w:t>
        <w:br/>
        <w:t>• Gamification &amp; Quizzes: 150 multi-tier evaluation questions and 10 educational quests.</w:t>
        <w:br/>
        <w:t>• Knowledge Graph: Comprehensive semantic triples connecting sovereigns, monuments, inscriptions, and sacred geographies.</w:t>
        <w:br/>
        <w:t>• Master Bibliography: Grounded in Tier-1 authoritative records (UNESCO, ASI, Epigraphia Carnatica) and Tier-2 academic monographs (Fritz, Michell, Nilakanta Sastri, Stein, Verghese).</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8C8278"/>
        <w:sz w:val="16"/>
      </w:rPr>
      <w:t>Confidential &amp; Academic Heritage Documentation — Document Ref: HAM-DOC-68-MASTER — Vijayanagara Heritage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86E64"/>
        <w:sz w:val="17"/>
      </w:rPr>
      <w:t>HAMPI CULTURAL HERITAGE ENCYCLOPEDIA | DIGITAL RESEARCH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