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03. History of Parihaspora &amp; Ancient Kashmir</w:t>
      </w:r>
    </w:p>
    <w:p>
      <w:pPr>
        <w:spacing w:before="280" w:after="120"/>
      </w:pPr>
      <w:r>
        <w:rPr>
          <w:rFonts w:ascii="Arial" w:hAnsi="Arial"/>
          <w:b/>
          <w:color w:val="B45309"/>
          <w:sz w:val="30"/>
        </w:rPr>
        <w:t>1. Pre-Karkota Foundations &amp; Political Evolution</w:t>
      </w:r>
    </w:p>
    <w:p>
      <w:pPr>
        <w:spacing w:after="120" w:line="276" w:lineRule="auto"/>
      </w:pPr>
      <w:r>
        <w:rPr>
          <w:i w:val="0"/>
        </w:rPr>
        <w:t>Before the rise of Parihaspora in the 8th century CE, the Kashmir Valley had developed a rich urban and political tradition under early dynasties. Early capitals included Srinagari (founded by Maurya Emperor Ashoka at modern Pandrethan) and Kaniskapura (founded by Kushana Emperor Kanishka). The Gonandiya dynasty and subsequent regional rulers established the administrative foundation of the valley [Source: PAR-S002].</w:t>
      </w:r>
    </w:p>
    <w:p>
      <w:pPr>
        <w:spacing w:before="280" w:after="120"/>
      </w:pPr>
      <w:r>
        <w:rPr>
          <w:rFonts w:ascii="Arial" w:hAnsi="Arial"/>
          <w:b/>
          <w:color w:val="B45309"/>
          <w:sz w:val="30"/>
        </w:rPr>
        <w:t>2. The Karkota Golden Age (c. 625–855 CE)</w:t>
      </w:r>
    </w:p>
    <w:p>
      <w:pPr>
        <w:spacing w:after="120" w:line="276" w:lineRule="auto"/>
      </w:pPr>
      <w:r>
        <w:rPr>
          <w:i w:val="0"/>
        </w:rPr>
        <w:t>The Karkota dynasty was established by Durlabhavardhana in c. 625 CE. Under his grandson, Emperor Lalitaditya Muktapida (r. c. 724–761 CE), Kashmir expanded into a powerful empire extending across Northern India, Swat, Punjab, and parts of Central Asia. Lalitaditya decided to move his capital from Srinagari to a new planned city—Parihasapura.</w:t>
      </w:r>
    </w:p>
    <w:p>
      <w:pPr>
        <w:spacing w:before="280" w:after="120"/>
      </w:pPr>
      <w:r>
        <w:rPr>
          <w:rFonts w:ascii="Arial" w:hAnsi="Arial"/>
          <w:b/>
          <w:color w:val="B45309"/>
          <w:sz w:val="30"/>
        </w:rPr>
        <w:t>3. Chronological Historical Timeline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Era / Date</w:t>
            </w:r>
          </w:p>
        </w:tc>
        <w:tc>
          <w:tcPr>
            <w:tcW w:type="dxa" w:w="3312"/>
            <w:shd w:fill="1E3A8A"/>
          </w:tcPr>
          <w:p>
            <w:pPr>
              <w:spacing w:after="40"/>
              <w:jc w:val="left"/>
            </w:pPr>
            <w:r>
              <w:rPr>
                <w:rFonts w:ascii="Arial" w:hAnsi="Arial"/>
                <w:b/>
                <w:color w:val="FFFFFF"/>
                <w:sz w:val="19"/>
              </w:rPr>
              <w:t>Historical Event / Milestone</w:t>
            </w:r>
          </w:p>
        </w:tc>
        <w:tc>
          <w:tcPr>
            <w:tcW w:type="dxa" w:w="2448"/>
            <w:shd w:fill="1E3A8A"/>
          </w:tcPr>
          <w:p>
            <w:pPr>
              <w:spacing w:after="40"/>
              <w:jc w:val="left"/>
            </w:pPr>
            <w:r>
              <w:rPr>
                <w:rFonts w:ascii="Arial" w:hAnsi="Arial"/>
                <w:b/>
                <w:color w:val="FFFFFF"/>
                <w:sz w:val="19"/>
              </w:rPr>
              <w:t>Key Historical Figures</w:t>
            </w:r>
          </w:p>
        </w:tc>
        <w:tc>
          <w:tcPr>
            <w:tcW w:type="dxa" w:w="3312"/>
            <w:shd w:fill="1E3A8A"/>
          </w:tcPr>
          <w:p>
            <w:pPr>
              <w:spacing w:after="40"/>
              <w:jc w:val="left"/>
            </w:pPr>
            <w:r>
              <w:rPr>
                <w:rFonts w:ascii="Arial" w:hAnsi="Arial"/>
                <w:b/>
                <w:color w:val="FFFFFF"/>
                <w:sz w:val="19"/>
              </w:rPr>
              <w:t>Significance</w:t>
            </w:r>
          </w:p>
        </w:tc>
      </w:tr>
      <w:tr>
        <w:tc>
          <w:tcPr>
            <w:tcW w:type="dxa" w:w="2160"/>
            <w:shd w:fill="FFFFFF"/>
          </w:tcPr>
          <w:p>
            <w:pPr>
              <w:spacing w:after="40"/>
            </w:pPr>
            <w:r>
              <w:rPr>
                <w:sz w:val="18"/>
              </w:rPr>
              <w:t>c. 250 BCE</w:t>
            </w:r>
          </w:p>
        </w:tc>
        <w:tc>
          <w:tcPr>
            <w:tcW w:type="dxa" w:w="3312"/>
            <w:shd w:fill="FFFFFF"/>
          </w:tcPr>
          <w:p>
            <w:pPr>
              <w:spacing w:after="40"/>
            </w:pPr>
            <w:r>
              <w:rPr>
                <w:sz w:val="18"/>
              </w:rPr>
              <w:t>Founding of Srinagari (Pandrethan).</w:t>
            </w:r>
          </w:p>
        </w:tc>
        <w:tc>
          <w:tcPr>
            <w:tcW w:type="dxa" w:w="2448"/>
            <w:shd w:fill="FFFFFF"/>
          </w:tcPr>
          <w:p>
            <w:pPr>
              <w:spacing w:after="40"/>
            </w:pPr>
            <w:r>
              <w:rPr>
                <w:sz w:val="18"/>
              </w:rPr>
              <w:t>Emperor Ashoka</w:t>
            </w:r>
          </w:p>
        </w:tc>
        <w:tc>
          <w:tcPr>
            <w:tcW w:type="dxa" w:w="3312"/>
            <w:shd w:fill="FFFFFF"/>
          </w:tcPr>
          <w:p>
            <w:pPr>
              <w:spacing w:after="40"/>
            </w:pPr>
            <w:r>
              <w:rPr>
                <w:sz w:val="18"/>
              </w:rPr>
              <w:t>Earliest documented urban capital in Kashmir Valley.</w:t>
            </w:r>
          </w:p>
        </w:tc>
      </w:tr>
      <w:tr>
        <w:tc>
          <w:tcPr>
            <w:tcW w:type="dxa" w:w="2160"/>
            <w:shd w:fill="F1F5F9"/>
          </w:tcPr>
          <w:p>
            <w:pPr>
              <w:spacing w:after="40"/>
            </w:pPr>
            <w:r>
              <w:rPr>
                <w:sz w:val="18"/>
              </w:rPr>
              <w:t>c. 625 CE</w:t>
            </w:r>
          </w:p>
        </w:tc>
        <w:tc>
          <w:tcPr>
            <w:tcW w:type="dxa" w:w="3312"/>
            <w:shd w:fill="F1F5F9"/>
          </w:tcPr>
          <w:p>
            <w:pPr>
              <w:spacing w:after="40"/>
            </w:pPr>
            <w:r>
              <w:rPr>
                <w:sz w:val="18"/>
              </w:rPr>
              <w:t>Establishment of Karkota Dynasty.</w:t>
            </w:r>
          </w:p>
        </w:tc>
        <w:tc>
          <w:tcPr>
            <w:tcW w:type="dxa" w:w="2448"/>
            <w:shd w:fill="F1F5F9"/>
          </w:tcPr>
          <w:p>
            <w:pPr>
              <w:spacing w:after="40"/>
            </w:pPr>
            <w:r>
              <w:rPr>
                <w:sz w:val="18"/>
              </w:rPr>
              <w:t>Durlabhavardhana</w:t>
            </w:r>
          </w:p>
        </w:tc>
        <w:tc>
          <w:tcPr>
            <w:tcW w:type="dxa" w:w="3312"/>
            <w:shd w:fill="F1F5F9"/>
          </w:tcPr>
          <w:p>
            <w:pPr>
              <w:spacing w:after="40"/>
            </w:pPr>
            <w:r>
              <w:rPr>
                <w:sz w:val="18"/>
              </w:rPr>
              <w:t>Beginning of Kashmir's imperial unification.</w:t>
            </w:r>
          </w:p>
        </w:tc>
      </w:tr>
      <w:tr>
        <w:tc>
          <w:tcPr>
            <w:tcW w:type="dxa" w:w="2160"/>
            <w:shd w:fill="FFFFFF"/>
          </w:tcPr>
          <w:p>
            <w:pPr>
              <w:spacing w:after="40"/>
            </w:pPr>
            <w:r>
              <w:rPr>
                <w:sz w:val="18"/>
              </w:rPr>
              <w:t>c. 724–761 CE</w:t>
            </w:r>
          </w:p>
        </w:tc>
        <w:tc>
          <w:tcPr>
            <w:tcW w:type="dxa" w:w="3312"/>
            <w:shd w:fill="FFFFFF"/>
          </w:tcPr>
          <w:p>
            <w:pPr>
              <w:spacing w:after="40"/>
            </w:pPr>
            <w:r>
              <w:rPr>
                <w:sz w:val="18"/>
              </w:rPr>
              <w:t>Reign of Lalitaditya Muktapida.</w:t>
            </w:r>
          </w:p>
        </w:tc>
        <w:tc>
          <w:tcPr>
            <w:tcW w:type="dxa" w:w="2448"/>
            <w:shd w:fill="FFFFFF"/>
          </w:tcPr>
          <w:p>
            <w:pPr>
              <w:spacing w:after="40"/>
            </w:pPr>
            <w:r>
              <w:rPr>
                <w:sz w:val="18"/>
              </w:rPr>
              <w:t>Lalitaditya, Chankuna</w:t>
            </w:r>
          </w:p>
        </w:tc>
        <w:tc>
          <w:tcPr>
            <w:tcW w:type="dxa" w:w="3312"/>
            <w:shd w:fill="FFFFFF"/>
          </w:tcPr>
          <w:p>
            <w:pPr>
              <w:spacing w:after="40"/>
            </w:pPr>
            <w:r>
              <w:rPr>
                <w:sz w:val="18"/>
              </w:rPr>
              <w:t>Golden age of Kashmir; foundation of Parihaspora capital.</w:t>
            </w:r>
          </w:p>
        </w:tc>
      </w:tr>
      <w:tr>
        <w:tc>
          <w:tcPr>
            <w:tcW w:type="dxa" w:w="2160"/>
            <w:shd w:fill="F1F5F9"/>
          </w:tcPr>
          <w:p>
            <w:pPr>
              <w:spacing w:after="40"/>
            </w:pPr>
            <w:r>
              <w:rPr>
                <w:sz w:val="18"/>
              </w:rPr>
              <w:t>c. 730–750 CE</w:t>
            </w:r>
          </w:p>
        </w:tc>
        <w:tc>
          <w:tcPr>
            <w:tcW w:type="dxa" w:w="3312"/>
            <w:shd w:fill="F1F5F9"/>
          </w:tcPr>
          <w:p>
            <w:pPr>
              <w:spacing w:after="40"/>
            </w:pPr>
            <w:r>
              <w:rPr>
                <w:sz w:val="18"/>
              </w:rPr>
              <w:t>Construction of Parihaspora monuments.</w:t>
            </w:r>
          </w:p>
        </w:tc>
        <w:tc>
          <w:tcPr>
            <w:tcW w:type="dxa" w:w="2448"/>
            <w:shd w:fill="F1F5F9"/>
          </w:tcPr>
          <w:p>
            <w:pPr>
              <w:spacing w:after="40"/>
            </w:pPr>
            <w:r>
              <w:rPr>
                <w:sz w:val="18"/>
              </w:rPr>
              <w:t>Lalitaditya, Cankuna</w:t>
            </w:r>
          </w:p>
        </w:tc>
        <w:tc>
          <w:tcPr>
            <w:tcW w:type="dxa" w:w="3312"/>
            <w:shd w:fill="F1F5F9"/>
          </w:tcPr>
          <w:p>
            <w:pPr>
              <w:spacing w:after="40"/>
            </w:pPr>
            <w:r>
              <w:rPr>
                <w:sz w:val="18"/>
              </w:rPr>
              <w:t>Erection of Muktakeshava, Rajavihara, &amp; Chankuna Stupa.</w:t>
            </w:r>
          </w:p>
        </w:tc>
      </w:tr>
      <w:tr>
        <w:tc>
          <w:tcPr>
            <w:tcW w:type="dxa" w:w="2160"/>
            <w:shd w:fill="FFFFFF"/>
          </w:tcPr>
          <w:p>
            <w:pPr>
              <w:spacing w:after="40"/>
            </w:pPr>
            <w:r>
              <w:rPr>
                <w:sz w:val="18"/>
              </w:rPr>
              <w:t>c. 855–883 CE</w:t>
            </w:r>
          </w:p>
        </w:tc>
        <w:tc>
          <w:tcPr>
            <w:tcW w:type="dxa" w:w="3312"/>
            <w:shd w:fill="FFFFFF"/>
          </w:tcPr>
          <w:p>
            <w:pPr>
              <w:spacing w:after="40"/>
            </w:pPr>
            <w:r>
              <w:rPr>
                <w:sz w:val="18"/>
              </w:rPr>
              <w:t>Utpala Dynasty &amp; Capital Shift.</w:t>
            </w:r>
          </w:p>
        </w:tc>
        <w:tc>
          <w:tcPr>
            <w:tcW w:type="dxa" w:w="2448"/>
            <w:shd w:fill="FFFFFF"/>
          </w:tcPr>
          <w:p>
            <w:pPr>
              <w:spacing w:after="40"/>
            </w:pPr>
            <w:r>
              <w:rPr>
                <w:sz w:val="18"/>
              </w:rPr>
              <w:t>King Avantivarman, Suyya</w:t>
            </w:r>
          </w:p>
        </w:tc>
        <w:tc>
          <w:tcPr>
            <w:tcW w:type="dxa" w:w="3312"/>
            <w:shd w:fill="FFFFFF"/>
          </w:tcPr>
          <w:p>
            <w:pPr>
              <w:spacing w:after="40"/>
            </w:pPr>
            <w:r>
              <w:rPr>
                <w:sz w:val="18"/>
              </w:rPr>
              <w:t>Capital moved to Avantipora; Jhelum river engineering.</w:t>
            </w:r>
          </w:p>
        </w:tc>
      </w:tr>
      <w:tr>
        <w:tc>
          <w:tcPr>
            <w:tcW w:type="dxa" w:w="2160"/>
            <w:shd w:fill="F1F5F9"/>
          </w:tcPr>
          <w:p>
            <w:pPr>
              <w:spacing w:after="40"/>
            </w:pPr>
            <w:r>
              <w:rPr>
                <w:sz w:val="18"/>
              </w:rPr>
              <w:t>1089–1101 CE</w:t>
            </w:r>
          </w:p>
        </w:tc>
        <w:tc>
          <w:tcPr>
            <w:tcW w:type="dxa" w:w="3312"/>
            <w:shd w:fill="F1F5F9"/>
          </w:tcPr>
          <w:p>
            <w:pPr>
              <w:spacing w:after="40"/>
            </w:pPr>
            <w:r>
              <w:rPr>
                <w:sz w:val="18"/>
              </w:rPr>
              <w:t>Reign of King Harsha; stone quarrying.</w:t>
            </w:r>
          </w:p>
        </w:tc>
        <w:tc>
          <w:tcPr>
            <w:tcW w:type="dxa" w:w="2448"/>
            <w:shd w:fill="F1F5F9"/>
          </w:tcPr>
          <w:p>
            <w:pPr>
              <w:spacing w:after="40"/>
            </w:pPr>
            <w:r>
              <w:rPr>
                <w:sz w:val="18"/>
              </w:rPr>
              <w:t>King Harsha</w:t>
            </w:r>
          </w:p>
        </w:tc>
        <w:tc>
          <w:tcPr>
            <w:tcW w:type="dxa" w:w="3312"/>
            <w:shd w:fill="F1F5F9"/>
          </w:tcPr>
          <w:p>
            <w:pPr>
              <w:spacing w:after="40"/>
            </w:pPr>
            <w:r>
              <w:rPr>
                <w:sz w:val="18"/>
              </w:rPr>
              <w:t>Melting of metal images &amp; removal of stone blocks from Parihaspora.</w:t>
            </w:r>
          </w:p>
        </w:tc>
      </w:tr>
      <w:tr>
        <w:tc>
          <w:tcPr>
            <w:tcW w:type="dxa" w:w="2160"/>
            <w:shd w:fill="FFFFFF"/>
          </w:tcPr>
          <w:p>
            <w:pPr>
              <w:spacing w:after="40"/>
            </w:pPr>
            <w:r>
              <w:rPr>
                <w:sz w:val="18"/>
              </w:rPr>
              <w:t>1912 CE</w:t>
            </w:r>
          </w:p>
        </w:tc>
        <w:tc>
          <w:tcPr>
            <w:tcW w:type="dxa" w:w="3312"/>
            <w:shd w:fill="FFFFFF"/>
          </w:tcPr>
          <w:p>
            <w:pPr>
              <w:spacing w:after="40"/>
            </w:pPr>
            <w:r>
              <w:rPr>
                <w:sz w:val="18"/>
              </w:rPr>
              <w:t>ASI Archaeological Excavations.</w:t>
            </w:r>
          </w:p>
        </w:tc>
        <w:tc>
          <w:tcPr>
            <w:tcW w:type="dxa" w:w="2448"/>
            <w:shd w:fill="FFFFFF"/>
          </w:tcPr>
          <w:p>
            <w:pPr>
              <w:spacing w:after="40"/>
            </w:pPr>
            <w:r>
              <w:rPr>
                <w:sz w:val="18"/>
              </w:rPr>
              <w:t>Daya Ram Sahni, Sir John Marshall</w:t>
            </w:r>
          </w:p>
        </w:tc>
        <w:tc>
          <w:tcPr>
            <w:tcW w:type="dxa" w:w="3312"/>
            <w:shd w:fill="FFFFFF"/>
          </w:tcPr>
          <w:p>
            <w:pPr>
              <w:spacing w:after="40"/>
            </w:pPr>
            <w:r>
              <w:rPr>
                <w:sz w:val="18"/>
              </w:rPr>
              <w:t>First systematic scientific excavation of Parihaspora ruins [PAR-S001].</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