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06. Primary Historical Sources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Documented Source Hierarchy for Parihaspora</w:t>
      </w:r>
    </w:p>
    <w:p>
      <w:pPr>
        <w:spacing w:after="120" w:line="276" w:lineRule="auto"/>
      </w:pPr>
      <w:r>
        <w:rPr>
          <w:i w:val="0"/>
        </w:rPr>
        <w:t>The historical and archaeological reconstruction of Parihaspora relies on primary texts, epigraphy, and modern excavation reports: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Text / Report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Author / Institution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Date / Era</w:t>
            </w:r>
          </w:p>
        </w:tc>
        <w:tc>
          <w:tcPr>
            <w:tcW w:type="dxa" w:w="403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Historical Contribution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Rajatarangini (Book IV)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Kalhana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1148–1149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Detailed narrative of Parihaspora's founding, monuments, &amp; Lalitaditya's reign.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Xin Tangshu (New Book of Tang)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Tang Dynasty Court Historians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1060 CE (7th-8th C. records)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Records diplomatic envoys sent by Lalitaditya (Mu-to-pi) to China.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Excavations at Parihasapura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Daya Ram Sahni (ASI)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1912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First scientific excavation report documenting surviving stone plinths.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Ancient Monuments of Kashmir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Ram Chandra Kak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1933 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Comprehensive architectural survey &amp; measurements of Parihaspora ruins.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