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07. Rajatarangini Critical Analysis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Critical Evaluation of Kalhana's Account</w:t>
      </w:r>
    </w:p>
    <w:p>
      <w:pPr>
        <w:spacing w:after="120" w:line="276" w:lineRule="auto"/>
      </w:pPr>
      <w:r>
        <w:rPr>
          <w:i w:val="0"/>
        </w:rPr>
        <w:t>Kalhana's Rajatarangini (composed 1148–1149 CE) is the principal literary source for Parihaspora. Modern historians apply rigorous critical methodology to separate empirical historical data from poetic embellishment [Source: PAR-S002]: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Empirically Verified Facts: </w:t>
      </w:r>
      <w:r>
        <w:t>Names of rulers, founding of Parihaspora, presence of minister Chankuna, existence of Muktakeshava and Rajavihara (confirmed by 1912 ASI excavations).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Literary Hyperbole: </w:t>
      </w:r>
      <w:r>
        <w:t>Descriptions of solid gold Buddha statues 80 cubits high or silver Vishnu images weighing thousands of prasthas are recognized as literary hyperbole representing immense royal wealth.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Folklore &amp; Legend: </w:t>
      </w:r>
      <w:r>
        <w:t>Tales of Chankuna using magical Buddhist crystals to dry up rivers during military campaigns are classified as devout Buddhist folklore.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