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12. Kashmiri Temple Architecture Analysis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Canonical Features of Classic Kashmiri Architecture</w:t>
      </w:r>
    </w:p>
    <w:p>
      <w:pPr>
        <w:spacing w:after="120" w:line="276" w:lineRule="auto"/>
      </w:pPr>
      <w:r>
        <w:rPr>
          <w:i w:val="0"/>
        </w:rPr>
        <w:t>Kashmiri temple architecture of the 8th century CE represents a distinct regional order characterized by a synthesis of indigenous stone traditions, Gupta artistic grace, and Hellenistic/Gandharan stylistic elements [Source: PAR-S001, PAR-S003]: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High Plinth Substructure: </w:t>
      </w:r>
      <w:r>
        <w:t>High, double-stepped stone plinths (Adhisthana) accessed by grand flights of stone stairs flanked by side walls.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Trefoil Arches &amp; Triangular Pediments: </w:t>
      </w:r>
      <w:r>
        <w:t>Deep triangular pediments framing trefoil-arched niches on sanctuary walls and gateways.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Fluted Columns &amp; Capital Orders: </w:t>
      </w:r>
      <w:r>
        <w:t>Tall, fluted stone pillars with square bases and quasi-Doric capitals, supporting portico roofs.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Dry Stone Masonry &amp; Iron Clamps: </w:t>
      </w:r>
      <w:r>
        <w:t>Constructed using massive blocks of grey limestone (often weighing 10–20 tons) laid dry without lime mortar, held together with iron dowels and clamps.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Colonnaded Peristyle (Prakara): </w:t>
      </w:r>
      <w:r>
        <w:t>Sanctums (Garbhagriha) were surrounded by an enclosed courtyard featuring an inner colonnaded wall of small shrines (Prakara).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