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E3A8A"/>
          <w:sz w:val="18"/>
        </w:rPr>
        <w:t>PARIHASPORA KASHMIR CULTURAL HERITAGE KNOWLEDGE BASE</w:t>
      </w:r>
    </w:p>
    <w:p>
      <w:pPr>
        <w:spacing w:after="280"/>
      </w:pPr>
      <w:r>
        <w:rPr>
          <w:rFonts w:ascii="Arial" w:hAnsi="Arial"/>
          <w:b/>
          <w:color w:val="B45309"/>
          <w:sz w:val="42"/>
        </w:rPr>
        <w:t>13. Sculpture and Art History of Karkota Kashmir</w:t>
      </w:r>
    </w:p>
    <w:p>
      <w:pPr>
        <w:spacing w:before="280" w:after="120"/>
      </w:pPr>
      <w:r>
        <w:rPr>
          <w:rFonts w:ascii="Arial" w:hAnsi="Arial"/>
          <w:b/>
          <w:color w:val="B45309"/>
          <w:sz w:val="30"/>
        </w:rPr>
        <w:t>1. Artistic Style &amp; Metal Sculpture Traditions</w:t>
      </w:r>
    </w:p>
    <w:p>
      <w:pPr>
        <w:spacing w:after="120" w:line="276" w:lineRule="auto"/>
      </w:pPr>
      <w:r>
        <w:rPr>
          <w:i w:val="0"/>
        </w:rPr>
        <w:t>The Karkota period witnessed an extraordinary flourishing of stone sculpture and metal casting in brass, bronze, and silver. Kashmiri sculptors developed an instantly recognizable aesthetic defined by muscular anatomical modeling, almond-shaped eyes, elaborate crowns, and flowing drapery [Source: PAR-S003].</w:t>
      </w:r>
    </w:p>
    <w:p>
      <w:pPr>
        <w:pStyle w:val="ListBullet"/>
        <w:spacing w:after="80" w:line="276" w:lineRule="auto"/>
      </w:pPr>
      <w:r>
        <w:rPr>
          <w:b/>
          <w:color w:val="1E3A8A"/>
        </w:rPr>
        <w:t xml:space="preserve">Vaikuntha Vishnu Images: </w:t>
      </w:r>
      <w:r>
        <w:t>Four-headed Vaikuntha Vishnu images combining human, lion (Narasimha), boar (Varaha), and demonic (Kapila) faces—the signature iconographic type of Karkota Kashmir.</w:t>
      </w:r>
    </w:p>
    <w:p>
      <w:pPr>
        <w:pStyle w:val="ListBullet"/>
        <w:spacing w:after="80" w:line="276" w:lineRule="auto"/>
      </w:pPr>
      <w:r>
        <w:rPr>
          <w:b/>
          <w:color w:val="1E3A8A"/>
        </w:rPr>
        <w:t xml:space="preserve">Kashmiri Bronze Castings: </w:t>
      </w:r>
      <w:r>
        <w:t>Seated and standing Buddha bronzes inlaid with silver and copper eyes, exemplifying trans-Himalayan Buddhist art.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