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15. Numismatics and Coinage of Lalitaditya</w:t>
      </w:r>
    </w:p>
    <w:p>
      <w:pPr>
        <w:spacing w:before="280" w:after="120"/>
      </w:pPr>
      <w:r>
        <w:rPr>
          <w:rFonts w:ascii="Arial" w:hAnsi="Arial"/>
          <w:b/>
          <w:color w:val="B45309"/>
          <w:sz w:val="30"/>
        </w:rPr>
        <w:t>1. Coinage &amp; Economic Monetization</w:t>
      </w:r>
    </w:p>
    <w:p>
      <w:pPr>
        <w:spacing w:after="120" w:line="276" w:lineRule="auto"/>
      </w:pPr>
      <w:r>
        <w:rPr>
          <w:i w:val="0"/>
        </w:rPr>
        <w:t>Karkota coinage offers vital empirical proof of Lalitaditya's empire, trade expansion, and monetary economy. Thousands of base gold, silver, and copper coins bearing Lalitaditya's legend have been discovered across Northern India [Source: PAR-S003].</w:t>
      </w:r>
    </w:p>
    <w:p>
      <w:pPr>
        <w:pStyle w:val="ListBullet"/>
        <w:spacing w:after="80" w:line="276" w:lineRule="auto"/>
      </w:pPr>
      <w:r>
        <w:rPr>
          <w:b/>
          <w:color w:val="1E3A8A"/>
        </w:rPr>
        <w:t xml:space="preserve">Coin Design Typology: </w:t>
      </w:r>
      <w:r>
        <w:t>Obverse displays a standing king offering incense at an altar; reverse displays seated Goddess Lakshmi / Ardoksho holding a cornucopia.</w:t>
      </w:r>
    </w:p>
    <w:p>
      <w:pPr>
        <w:pStyle w:val="ListBullet"/>
        <w:spacing w:after="80" w:line="276" w:lineRule="auto"/>
      </w:pPr>
      <w:r>
        <w:rPr>
          <w:b/>
          <w:color w:val="1E3A8A"/>
        </w:rPr>
        <w:t xml:space="preserve">Coin Legends: </w:t>
      </w:r>
      <w:r>
        <w:t>Inscribed in Brahmi / Sharada script reading 'Sri Pratapa' or 'Sri Lalitaditya'.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