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16. Trade, Economy &amp; Imperial Revenue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Agrarian Surplus &amp; Trans-Himalayan Commerce</w:t>
      </w:r>
    </w:p>
    <w:p>
      <w:pPr>
        <w:spacing w:after="120" w:line="276" w:lineRule="auto"/>
      </w:pPr>
      <w:r>
        <w:rPr>
          <w:i w:val="0"/>
        </w:rPr>
        <w:t>The economic foundation of Karkota Kashmir rested on an abundant agrarian surplus (rice, saffron, fruits) combined with revenue from lucrative trans-Himalayan trade routes connecting North India with Central Asia, China, and Tibet [Source: PAR-S002, PAR-S006].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Economic Sector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Commodities / Services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Trade Route / Market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State Revenue Role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Agrarian Economy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Rice (Dhanya), Saffron (Kumkuma), Apples, Walnuts.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Kashmir Valley market centers.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Primary agricultural land tax (Bhaga).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Silk Route Trade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Silk, Wool, Musk, Horses, Precious Gems.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Passes connecting Kashmir to Ladakh, Kashgar, &amp; Gilgit.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Customs duties (Sulka) collected at mountain watchposts (Dwaras).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Craft Production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Metalsmithing, Stone carving, Textile weaving.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Royal workshops (Karkhanas) &amp; urban bazaars.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State patronage of luxury arts &amp; coinage.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