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18. Daily Life in Ancient Kashmir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Social Fabric &amp; Material Culture</w:t>
      </w:r>
    </w:p>
    <w:p>
      <w:pPr>
        <w:spacing w:after="120" w:line="276" w:lineRule="auto"/>
      </w:pPr>
      <w:r>
        <w:rPr>
          <w:i w:val="0"/>
        </w:rPr>
        <w:t>Historical texts and archaeological artifacts allow scholars to reconstruct daily life in 8th-century Parihaspora: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Dietary Habits: </w:t>
      </w:r>
      <w:r>
        <w:t>Rice cooked with ghee, curd, river fish, saffron, and wild vegetables.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Clothing &amp; Attire: </w:t>
      </w:r>
      <w:r>
        <w:t>Long woolen tunics (precursor to modern Phelan), silk garments for royalty, and elaborate jeweled turbans.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Housing Architecture: </w:t>
      </w:r>
      <w:r>
        <w:t>Multi-storied timber frame houses with stone foundations and birch-bark (Bhurjapatra) roofs covered with earth and wild flowers.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