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PARIHASPORA KASHMIR CULTURAL HERITAGE KNOWLEDGE BASE</w:t>
      </w:r>
    </w:p>
    <w:p>
      <w:pPr>
        <w:spacing w:after="280"/>
      </w:pPr>
      <w:r>
        <w:rPr>
          <w:rFonts w:ascii="Arial" w:hAnsi="Arial"/>
          <w:b/>
          <w:color w:val="B45309"/>
          <w:sz w:val="42"/>
        </w:rPr>
        <w:t>19. Language, Script and Epigraphic Heritage</w:t>
      </w:r>
    </w:p>
    <w:p>
      <w:pPr>
        <w:spacing w:before="280" w:after="120"/>
      </w:pPr>
      <w:r>
        <w:rPr>
          <w:rFonts w:ascii="Arial" w:hAnsi="Arial"/>
          <w:b/>
          <w:color w:val="B45309"/>
          <w:sz w:val="30"/>
        </w:rPr>
        <w:t>1. Sharada Script &amp; Sanskrit Intellectual Tradition</w:t>
      </w:r>
    </w:p>
    <w:p>
      <w:pPr>
        <w:spacing w:after="120" w:line="276" w:lineRule="auto"/>
      </w:pPr>
      <w:r>
        <w:rPr>
          <w:i w:val="0"/>
        </w:rPr>
        <w:t>Sanskrit was the official court, literary, and liturgical language of Karkota Kashmir, written exclusively in the indigenous Sharada script. Kashmir emerged as the premier center for Sanskrit grammatical and philosophical learning in South Asia [Source: PAR-S002].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