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21. Religious and Philosophical Traditions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Religious Harmony &amp; Pluralistic Patronage</w:t>
      </w:r>
    </w:p>
    <w:p>
      <w:pPr>
        <w:spacing w:after="120" w:line="276" w:lineRule="auto"/>
      </w:pPr>
      <w:r>
        <w:rPr>
          <w:i w:val="0"/>
        </w:rPr>
        <w:t>Parihaspora exemplifies a remarkable era of religious pluralism. Lalitaditya and his court concurrently patronized Mahayana/Vajrayana Buddhism and Pancharatra Vaishnavism, constructing monumental shrines for both faiths side-by-side [Source: PAR-S003].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