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24. Related Heritage Sites in Kashmir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Comparative Survey of Ancient Kashmiri Monuments</w:t>
      </w:r>
    </w:p>
    <w:p>
      <w:pPr>
        <w:spacing w:after="120" w:line="276" w:lineRule="auto"/>
      </w:pPr>
      <w:r>
        <w:rPr>
          <w:i w:val="0"/>
        </w:rPr>
        <w:t>Parihaspora is part of a broader network of ancient Kashmiri stone monuments: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Site Name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Founder &amp; Date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Connection to Parihaspora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Martand Sun Temple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Anantnag District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 Muktapida (c. 740 CE)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Built by same founder; shares high plinth, trefoil arches, &amp; colonnaded peristyle.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Avantipora (Avantisvamin)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Pulwama District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King Avantivarman (c. 855 CE)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Next major capital established after Parihaspora's political decline.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Pandrethan (Srinagari)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Srinagar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Emperor Ashoka / Early Rulers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Pre-Karkota capital; famous 10th-century Shiva temple intact in sacred tank.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Harwan Buddhist Site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Srinagar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Kushana Era (c. 1st-3rd C. CE)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Earliest documented Buddhist stupa &amp; molded terracotta tile pavements in Kashmir.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