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26. Museums and Collections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Archival &amp; Museum Repositories</w:t>
      </w:r>
    </w:p>
    <w:p>
      <w:pPr>
        <w:spacing w:after="120" w:line="276" w:lineRule="auto"/>
      </w:pPr>
      <w:r>
        <w:rPr>
          <w:i w:val="0"/>
        </w:rPr>
        <w:t>Sculptures, metal bronzes, coins, and architectural fragments originating from Parihaspora and Karkota Kashmir are preserved in key public museums [Source: PAR-S001, PAR-S003]: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Museum / Institution</w:t>
            </w:r>
          </w:p>
        </w:tc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432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Key Collection / Holding</w:t>
            </w:r>
          </w:p>
        </w:tc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Official Status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Sri Pratap Singh (SPS) Museum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Srinagar, J&amp;K</w:t>
            </w:r>
          </w:p>
        </w:tc>
        <w:tc>
          <w:tcPr>
            <w:tcW w:type="dxa" w:w="4320"/>
            <w:shd w:fill="FFFFFF"/>
          </w:tcPr>
          <w:p>
            <w:pPr>
              <w:spacing w:after="40"/>
            </w:pPr>
            <w:r>
              <w:rPr>
                <w:sz w:val="18"/>
              </w:rPr>
              <w:t>Extensive collection of ancient Kashmiri stone sculptures, terracottas, &amp; coins.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State Museum Repository</w:t>
            </w:r>
          </w:p>
        </w:tc>
      </w:tr>
      <w:tr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National Museum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New Delhi</w:t>
            </w:r>
          </w:p>
        </w:tc>
        <w:tc>
          <w:tcPr>
            <w:tcW w:type="dxa" w:w="4320"/>
            <w:shd w:fill="F1F5F9"/>
          </w:tcPr>
          <w:p>
            <w:pPr>
              <w:spacing w:after="40"/>
            </w:pPr>
            <w:r>
              <w:rPr>
                <w:sz w:val="18"/>
              </w:rPr>
              <w:t>8th-century Kashmiri brass bronzes, Vaikuntha Vishnu icons, &amp; Sharada manuscripts.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National Museum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Cleveland Museum of Art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Cleveland, USA</w:t>
            </w:r>
          </w:p>
        </w:tc>
        <w:tc>
          <w:tcPr>
            <w:tcW w:type="dxa" w:w="4320"/>
            <w:shd w:fill="FFFFFF"/>
          </w:tcPr>
          <w:p>
            <w:pPr>
              <w:spacing w:after="40"/>
            </w:pPr>
            <w:r>
              <w:rPr>
                <w:sz w:val="18"/>
              </w:rPr>
              <w:t>Celebrated 8th-century Kashmiri standing Buddha &amp; Vaikuntha bronzes.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International Collection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