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27. Archaeological Conservation and Protection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Conservation Status &amp; Environmental Threats</w:t>
      </w:r>
    </w:p>
    <w:p>
      <w:pPr>
        <w:spacing w:after="120" w:line="276" w:lineRule="auto"/>
      </w:pPr>
      <w:r>
        <w:rPr>
          <w:i w:val="0"/>
        </w:rPr>
        <w:t>Parihaspora is protected as a National Monument under the Archaeological Survey of India (ASI) Srinagar Circle. Major preservation priorities include: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Vegetation Control: </w:t>
      </w:r>
      <w:r>
        <w:t>Preventing weed, moss, and root growth between dry stone masonry joints of plinths.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Stone Weathering Mitigation: </w:t>
      </w:r>
      <w:r>
        <w:t>Mitigating frost-wedging and freeze-thaw cracking of limestone blocks during winter.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Encroachment Prevention: </w:t>
      </w:r>
      <w:r>
        <w:t>Enforcing ASI buffer zone regulations to prevent soil extraction or illegal building on the Karewa.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