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31. Historical Events Database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Chronological Event Records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Historical Event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Date / Era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Figures</w:t>
            </w:r>
          </w:p>
        </w:tc>
        <w:tc>
          <w:tcPr>
            <w:tcW w:type="dxa" w:w="374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Historical Impact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PAR-EV-001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Accession of Lalitaditya Muktapida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c. 724 CE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Lalitaditya</w:t>
            </w:r>
          </w:p>
        </w:tc>
        <w:tc>
          <w:tcPr>
            <w:tcW w:type="dxa" w:w="3744"/>
            <w:shd w:fill="FFFFFF"/>
          </w:tcPr>
          <w:p>
            <w:pPr>
              <w:spacing w:after="40"/>
            </w:pPr>
            <w:r>
              <w:rPr>
                <w:sz w:val="18"/>
              </w:rPr>
              <w:t>Beginning of imperial expansion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PAR-EV-002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Founding of Parihaspora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c. 730–740 CE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Lalitaditya, Chankuna</w:t>
            </w:r>
          </w:p>
        </w:tc>
        <w:tc>
          <w:tcPr>
            <w:tcW w:type="dxa" w:w="3744"/>
            <w:shd w:fill="F1F5F9"/>
          </w:tcPr>
          <w:p>
            <w:pPr>
              <w:spacing w:after="40"/>
            </w:pPr>
            <w:r>
              <w:rPr>
                <w:sz w:val="18"/>
              </w:rPr>
              <w:t>Establishment of new imperial capital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PAR-EV-003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Kannauj Expedition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c. 736 CE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Lalitaditya, Yashovarman</w:t>
            </w:r>
          </w:p>
        </w:tc>
        <w:tc>
          <w:tcPr>
            <w:tcW w:type="dxa" w:w="3744"/>
            <w:shd w:fill="FFFFFF"/>
          </w:tcPr>
          <w:p>
            <w:pPr>
              <w:spacing w:after="40"/>
            </w:pPr>
            <w:r>
              <w:rPr>
                <w:sz w:val="18"/>
              </w:rPr>
              <w:t>Defeat of Yashovarman; northern hegemony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PAR-EV-004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ASI Scientific Excavations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1912 CE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Daya Ram Sahni</w:t>
            </w:r>
          </w:p>
        </w:tc>
        <w:tc>
          <w:tcPr>
            <w:tcW w:type="dxa" w:w="3744"/>
            <w:shd w:fill="F1F5F9"/>
          </w:tcPr>
          <w:p>
            <w:pPr>
              <w:spacing w:after="40"/>
            </w:pPr>
            <w:r>
              <w:rPr>
                <w:sz w:val="18"/>
              </w:rPr>
              <w:t>Scientific exposure of stone plinths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