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40. Cultural Etiquette and Sensitivity Guidelines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Responsible Heritage Exploration Code</w:t>
      </w:r>
    </w:p>
    <w:p>
      <w:pPr>
        <w:spacing w:after="120" w:line="276" w:lineRule="auto"/>
      </w:pPr>
      <w:r>
        <w:rPr>
          <w:i w:val="0"/>
        </w:rPr>
        <w:t>Guidelines for respectful research and tourism at Parihaspora: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Respect Protected Ruins: </w:t>
      </w:r>
      <w:r>
        <w:t>Parihaspora is a protected ASI national monument. Do not climb, deface, or move ancient limestone blocks or sculptural fragments.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Neutral &amp; Sensitive Narrative: </w:t>
      </w:r>
      <w:r>
        <w:t>Use neutral, evidence-backed historical terminology. Respect the sacred traditions of both Hindu and Buddhist heritage associated with the site.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