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43. Heritage Preservation Challenges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Structural Decay &amp; Protection Needs</w:t>
      </w:r>
    </w:p>
    <w:p>
      <w:pPr>
        <w:spacing w:after="120" w:line="276" w:lineRule="auto"/>
      </w:pPr>
      <w:r>
        <w:rPr>
          <w:i w:val="0"/>
        </w:rPr>
        <w:t>Detailed audit of preservation threats facing Parihaspora [Source: PAR-S001]: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Freeze-Thaw Weathering: </w:t>
      </w:r>
      <w:r>
        <w:t>Rainwater pooling on exposed horizontal plinths leads to winter freeze-thaw spalling of limestone.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Urban Buffer Encroachment: </w:t>
      </w:r>
      <w:r>
        <w:t>Encroachments along the Karewa plateau edge threaten unexcavated outer buffer areas.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