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44. Educational Content Framework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Pedagogical Modules for Diverse Audiences</w:t>
      </w:r>
    </w:p>
    <w:p>
      <w:pPr>
        <w:spacing w:after="120" w:line="276" w:lineRule="auto"/>
      </w:pPr>
      <w:r>
        <w:rPr>
          <w:i w:val="0"/>
        </w:rPr>
        <w:t>Framework for converting Parihaspora research into interactive learning modules: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School Students (K-12): </w:t>
      </w:r>
      <w:r>
        <w:t>Visual stories on Lalitaditya, ancient stone building, and Buddhist monks.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University Scholars: </w:t>
      </w:r>
      <w:r>
        <w:t>Deep dives into Rajatarangini historiography, Karkota architecture, and epigraphy.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