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46. Cultural Knowledge Graph and Entity Relationships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Knowledge Graph Network Architecture</w:t>
      </w:r>
    </w:p>
    <w:p>
      <w:pPr>
        <w:spacing w:after="120" w:line="276" w:lineRule="auto"/>
      </w:pPr>
      <w:r>
        <w:rPr>
          <w:i w:val="0"/>
        </w:rPr>
        <w:t>This document structures Parihaspora's cultural entities into a formal knowledge graph schema designed for digital platform databases and AI graph neural network reasoning [Source: PAR-S001, PAR-S002]: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Subject Entity ID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Subject Name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Relationship Predicate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Object 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Object Name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Reference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PAR-MN-001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Muktakeshava Temple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LOCATED_AT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PAR-GEO-001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Parihaspora Karewa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PAR-S001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PAR-MN-001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Muktakeshava Temple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BUILT_BY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PAR-PE-001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Lalitaditya Muktapida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PAR-S002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PAR-MN-004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Chankuna's Stupa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BUILT_BY_MINISTER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PAR-PE-002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Chankuna (Cankuna)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PAR-S002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PAR-PE-001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Lalitaditya Muktapida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BELONGS_TO_DYNASTY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PAR-DY-001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Karkota Dynasty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PAR-S002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PAR-MN-003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Rajavihara Monastery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CLASSIFIED_AS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PAR-TY-001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Mahayana Buddhist Vihara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PAR-S003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PAR-AR-001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Vaikuntha Vishnu Relief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DISCOVERED_AT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PAR-MN-001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Muktakeshava Plinth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PAR-S001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