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52. Missing Information and Research Gaps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Identified Knowledge Gaps for Future Research</w:t>
      </w:r>
    </w:p>
    <w:p>
      <w:pPr>
        <w:spacing w:after="120" w:line="276" w:lineRule="auto"/>
      </w:pPr>
      <w:r>
        <w:rPr>
          <w:i w:val="0"/>
        </w:rPr>
        <w:t>Audit of unexcavated areas and documentation gaps at Parihaspora: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Unexcavated Residential Quarters: </w:t>
      </w:r>
      <w:r>
        <w:t>Large sections of the outer Karewa plateau remain unexcavated by the ASI, leaving urban residential zones unmapped.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Sparse Epigraphic Inscriptions: </w:t>
      </w:r>
      <w:r>
        <w:t>Few stone epigraphs survived in situ due to centuries of stone recycling and weathering.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