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53. Field Research Recommendations &amp; Guidelines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Modern Archaeological Fieldwork Protocol</w:t>
      </w:r>
    </w:p>
    <w:p>
      <w:pPr>
        <w:spacing w:after="120" w:line="276" w:lineRule="auto"/>
      </w:pPr>
      <w:r>
        <w:rPr>
          <w:i w:val="0"/>
        </w:rPr>
        <w:t>Actionable recommendations for non-invasive archaeological research at Parihaspora: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Non-Invasive GPR &amp; Drone Survey: </w:t>
      </w:r>
      <w:r>
        <w:t>Deploy drone photogrammetry and ground-penetrating radar (GPR) to map subsurface wall foundations without digging.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3D LiDAR Scanning: </w:t>
      </w:r>
      <w:r>
        <w:t>Create millimeter-accurate 3D digital models of all surviving stone plinths and column fragments.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