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01. Chanderi — Regional Overview &amp; Identity</w:t>
      </w:r>
    </w:p>
    <w:p>
      <w:pPr>
        <w:spacing w:before="280" w:after="120"/>
      </w:pPr>
      <w:r>
        <w:rPr>
          <w:rFonts w:ascii="Arial" w:hAnsi="Arial"/>
          <w:b/>
          <w:color w:val="6D28D9"/>
          <w:sz w:val="30"/>
        </w:rPr>
        <w:t>1. Basic Identity &amp; Nomenclature</w:t>
      </w:r>
    </w:p>
    <w:p>
      <w:pPr>
        <w:spacing w:after="120" w:line="276" w:lineRule="auto"/>
      </w:pPr>
      <w:r>
        <w:rPr>
          <w:i w:val="0"/>
        </w:rPr>
        <w:t>Chanderi (Hindi: चन्देरी) is a historic town of exceptional cultural significance located in the Ashoknagar district of Madhya Pradesh, India. Celebrated for its medieval fort, diverse religious heritage, and world-famous handwoven Chanderi fabric (silk-cotton textiles), Chanderi is one of Central India's most important surviving historic towns. It is classified by the Archaeological Survey of India (ASI) as a monument-rich heritage town and is protected under the Ancient Monuments and Archaeological Sites and Remains Act, 1958 [Source: CHA-S001, CHA-S004].</w:t>
      </w:r>
    </w:p>
    <w:p>
      <w:pPr>
        <w:pStyle w:val="ListBullet"/>
        <w:spacing w:after="80" w:line="276" w:lineRule="auto"/>
      </w:pPr>
      <w:r>
        <w:rPr>
          <w:b/>
          <w:color w:val="78350F"/>
        </w:rPr>
        <w:t xml:space="preserve">Name &amp; Etymology: </w:t>
      </w:r>
      <w:r>
        <w:t>Chanderi (चन्देरी) — The name derives from 'Chandragiri' or 'Chandrapur' in some accounts, though this etymology is not definitively verified in early inscriptions. Local traditions associate the name with the fort hill.</w:t>
      </w:r>
    </w:p>
    <w:p>
      <w:pPr>
        <w:pStyle w:val="ListBullet"/>
        <w:spacing w:after="80" w:line="276" w:lineRule="auto"/>
      </w:pPr>
      <w:r>
        <w:rPr>
          <w:b/>
          <w:color w:val="78350F"/>
        </w:rPr>
        <w:t xml:space="preserve">Administrative Location: </w:t>
      </w:r>
      <w:r>
        <w:t>Ashoknagar District, Madhya Pradesh, India. Historically part of the Bundelkhand-Malwa transitional zone.</w:t>
      </w:r>
    </w:p>
    <w:p>
      <w:pPr>
        <w:pStyle w:val="ListBullet"/>
        <w:spacing w:after="80" w:line="276" w:lineRule="auto"/>
      </w:pPr>
      <w:r>
        <w:rPr>
          <w:b/>
          <w:color w:val="78350F"/>
        </w:rPr>
        <w:t xml:space="preserve">Coordinates: </w:t>
      </w:r>
      <w:r>
        <w:t>24° 42' N Latitude; 78° 08' E Longitude (approximate town centre). [Verify with Survey of India / GIS for precise monument coordinates.]</w:t>
      </w:r>
    </w:p>
    <w:p>
      <w:pPr>
        <w:pStyle w:val="ListBullet"/>
        <w:spacing w:after="80" w:line="276" w:lineRule="auto"/>
      </w:pPr>
      <w:r>
        <w:rPr>
          <w:b/>
          <w:color w:val="78350F"/>
        </w:rPr>
        <w:t xml:space="preserve">Primary Heritage Identity: </w:t>
      </w:r>
      <w:r>
        <w:t>Handwoven Chanderi fabric (Chanderi saree / Chanderi fabric); medieval fort and walled-town heritage; multi-faith religious monuments.</w:t>
      </w:r>
    </w:p>
    <w:p>
      <w:pPr>
        <w:pStyle w:val="ListBullet"/>
        <w:spacing w:after="80" w:line="276" w:lineRule="auto"/>
      </w:pPr>
      <w:r>
        <w:rPr>
          <w:b/>
          <w:color w:val="78350F"/>
        </w:rPr>
        <w:t xml:space="preserve">GI Status: </w:t>
      </w:r>
      <w:r>
        <w:t>Chanderi Fabric received Geographical Indication (GI) Tag in 2005 under GI Act 1999. [Source: CHA-S006]</w:t>
      </w:r>
    </w:p>
    <w:p>
      <w:pPr>
        <w:spacing w:before="280" w:after="120"/>
      </w:pPr>
      <w:r>
        <w:rPr>
          <w:rFonts w:ascii="Arial" w:hAnsi="Arial"/>
          <w:b/>
          <w:color w:val="6D28D9"/>
          <w:sz w:val="30"/>
        </w:rPr>
        <w:t>2. Tiered Introductions</w:t>
      </w:r>
    </w:p>
    <w:p>
      <w:pPr>
        <w:spacing w:after="120" w:line="276" w:lineRule="auto"/>
      </w:pPr>
      <w:r>
        <w:rPr>
          <w:b/>
          <w:color w:val="78350F"/>
        </w:rPr>
        <w:t xml:space="preserve">One-Line Description: </w:t>
      </w:r>
      <w:r>
        <w:rPr>
          <w:i w:val="0"/>
        </w:rPr>
        <w:t>Chanderi is a historic walled town in Madhya Pradesh, India, celebrated for its medieval fort, diverse religious monuments, and the world-famous sheer handwoven Chanderi textile.</w:t>
      </w:r>
    </w:p>
    <w:p>
      <w:pPr>
        <w:spacing w:after="120" w:line="276" w:lineRule="auto"/>
      </w:pPr>
      <w:r>
        <w:rPr>
          <w:b/>
          <w:color w:val="78350F"/>
        </w:rPr>
        <w:t xml:space="preserve">One-Paragraph Introduction: </w:t>
      </w:r>
      <w:r>
        <w:rPr>
          <w:i w:val="0"/>
        </w:rPr>
        <w:t>Chanderi is a living heritage town in central India's Ashoknagar district, sitting on the transitional zone between the Bundelkhand plateau and the Malwa uplands. Known for its dramatically positioned fort, layered medieval architecture (including mosques, Jain temples, stepwells, and palaces), and the globally prized Chanderi handwoven fabric — a uniquely sheer silk-cotton weave with a characteristic translucency — Chanderi is both an archaeological site and a living cultural landscape where weaving traditions continue in thousands of family-run households [Source: CHA-S001, CHA-S004, CHA-S005].</w:t>
      </w:r>
    </w:p>
    <w:p>
      <w:pPr>
        <w:spacing w:after="120" w:line="276" w:lineRule="auto"/>
      </w:pPr>
      <w:r>
        <w:rPr>
          <w:b/>
          <w:color w:val="78350F"/>
        </w:rPr>
        <w:t xml:space="preserve">Comprehensive Historical Introduction: </w:t>
      </w:r>
      <w:r>
        <w:rPr>
          <w:i w:val="0"/>
        </w:rPr>
        <w:t>Chanderi's recorded history spans over a millennium, with the town rising to regional importance under the Malwa Sultanate (c. 15th century CE), when it became a major commercial and administrative centre of Central India. Its strategic hilltop fort — commanding views over the surrounding plateau — witnessed the famous Battle of Chanderi in January 1528 CE, when the Mughal emperor Babur defeated the Rajput chieftain Medini Rai. This encounter is documented in Babur's own memoir, the Baburnama, making it one of the few medieval Indian battles with a first-hand primary source account. Under the Bundela rulers in later centuries, Chanderi's architectural heritage was further enriched. Today the town's handloom industry — producing the distinctive sheer Chanderi fabric in silk, cotton, and silk-cotton blends — sustains thousands of weaver families and has earned international recognition through the GI tag (2005) [Source: CHA-S001, CHA-S003, CHA-S006].</w:t>
      </w:r>
    </w:p>
    <w:p>
      <w:pPr>
        <w:spacing w:before="280" w:after="120"/>
      </w:pPr>
      <w:r>
        <w:rPr>
          <w:rFonts w:ascii="Arial" w:hAnsi="Arial"/>
          <w:b/>
          <w:color w:val="6D28D9"/>
          <w:sz w:val="30"/>
        </w:rPr>
        <w:t>3. Significance Summary Table</w:t>
      </w:r>
    </w:p>
    <w:tbl>
      <w:tblPr>
        <w:tblW w:type="auto" w:w="0"/>
        <w:jc w:val="center"/>
        <w:tblLook w:firstColumn="1" w:firstRow="1" w:lastColumn="0" w:lastRow="0" w:noHBand="0" w:noVBand="1" w:val="04A0"/>
      </w:tblPr>
      <w:tblGrid>
        <w:gridCol w:w="2340"/>
        <w:gridCol w:w="2340"/>
        <w:gridCol w:w="2340"/>
        <w:gridCol w:w="2340"/>
      </w:tblGrid>
      <w:tr>
        <w:tc>
          <w:tcPr>
            <w:tcW w:type="dxa" w:w="2160"/>
            <w:shd w:fill="6D28D9"/>
          </w:tcPr>
          <w:p>
            <w:pPr>
              <w:spacing w:after="40"/>
              <w:jc w:val="left"/>
            </w:pPr>
            <w:r>
              <w:rPr>
                <w:rFonts w:ascii="Arial" w:hAnsi="Arial"/>
                <w:b/>
                <w:color w:val="FFFFFF"/>
                <w:sz w:val="19"/>
              </w:rPr>
              <w:t>Domain</w:t>
            </w:r>
          </w:p>
        </w:tc>
        <w:tc>
          <w:tcPr>
            <w:tcW w:type="dxa" w:w="3600"/>
            <w:shd w:fill="6D28D9"/>
          </w:tcPr>
          <w:p>
            <w:pPr>
              <w:spacing w:after="40"/>
              <w:jc w:val="left"/>
            </w:pPr>
            <w:r>
              <w:rPr>
                <w:rFonts w:ascii="Arial" w:hAnsi="Arial"/>
                <w:b/>
                <w:color w:val="FFFFFF"/>
                <w:sz w:val="19"/>
              </w:rPr>
              <w:t>Significance</w:t>
            </w:r>
          </w:p>
        </w:tc>
        <w:tc>
          <w:tcPr>
            <w:tcW w:type="dxa" w:w="3168"/>
            <w:shd w:fill="6D28D9"/>
          </w:tcPr>
          <w:p>
            <w:pPr>
              <w:spacing w:after="40"/>
              <w:jc w:val="left"/>
            </w:pPr>
            <w:r>
              <w:rPr>
                <w:rFonts w:ascii="Arial" w:hAnsi="Arial"/>
                <w:b/>
                <w:color w:val="FFFFFF"/>
                <w:sz w:val="19"/>
              </w:rPr>
              <w:t>Key Heritage Asset</w:t>
            </w:r>
          </w:p>
        </w:tc>
        <w:tc>
          <w:tcPr>
            <w:tcW w:type="dxa" w:w="2160"/>
            <w:shd w:fill="6D28D9"/>
          </w:tcPr>
          <w:p>
            <w:pPr>
              <w:spacing w:after="40"/>
              <w:jc w:val="left"/>
            </w:pPr>
            <w:r>
              <w:rPr>
                <w:rFonts w:ascii="Arial" w:hAnsi="Arial"/>
                <w:b/>
                <w:color w:val="FFFFFF"/>
                <w:sz w:val="19"/>
              </w:rPr>
              <w:t>Confidence</w:t>
            </w:r>
          </w:p>
        </w:tc>
      </w:tr>
      <w:tr>
        <w:tc>
          <w:tcPr>
            <w:tcW w:type="dxa" w:w="2160"/>
            <w:shd w:fill="FFFFFF"/>
          </w:tcPr>
          <w:p>
            <w:pPr>
              <w:spacing w:after="40"/>
            </w:pPr>
            <w:r>
              <w:rPr>
                <w:sz w:val="18"/>
              </w:rPr>
              <w:t>Medieval History</w:t>
            </w:r>
          </w:p>
        </w:tc>
        <w:tc>
          <w:tcPr>
            <w:tcW w:type="dxa" w:w="3600"/>
            <w:shd w:fill="FFFFFF"/>
          </w:tcPr>
          <w:p>
            <w:pPr>
              <w:spacing w:after="40"/>
            </w:pPr>
            <w:r>
              <w:rPr>
                <w:sz w:val="18"/>
              </w:rPr>
              <w:t>Major regional centre of Malwa Sultanate; site of Battle of Chanderi (1528 CE).</w:t>
            </w:r>
          </w:p>
        </w:tc>
        <w:tc>
          <w:tcPr>
            <w:tcW w:type="dxa" w:w="3168"/>
            <w:shd w:fill="FFFFFF"/>
          </w:tcPr>
          <w:p>
            <w:pPr>
              <w:spacing w:after="40"/>
            </w:pPr>
            <w:r>
              <w:rPr>
                <w:sz w:val="18"/>
              </w:rPr>
              <w:t>Battle of Chanderi documented in Baburnama (primary source).</w:t>
            </w:r>
          </w:p>
        </w:tc>
        <w:tc>
          <w:tcPr>
            <w:tcW w:type="dxa" w:w="2160"/>
            <w:shd w:fill="FFFFFF"/>
          </w:tcPr>
          <w:p>
            <w:pPr>
              <w:spacing w:after="40"/>
            </w:pPr>
            <w:r>
              <w:rPr>
                <w:sz w:val="18"/>
              </w:rPr>
              <w:t>HIGH [CHA-S003]</w:t>
            </w:r>
          </w:p>
        </w:tc>
      </w:tr>
      <w:tr>
        <w:tc>
          <w:tcPr>
            <w:tcW w:type="dxa" w:w="2160"/>
            <w:shd w:fill="F5F3FF"/>
          </w:tcPr>
          <w:p>
            <w:pPr>
              <w:spacing w:after="40"/>
            </w:pPr>
            <w:r>
              <w:rPr>
                <w:sz w:val="18"/>
              </w:rPr>
              <w:t>Fort &amp; Architecture</w:t>
            </w:r>
          </w:p>
        </w:tc>
        <w:tc>
          <w:tcPr>
            <w:tcW w:type="dxa" w:w="3600"/>
            <w:shd w:fill="F5F3FF"/>
          </w:tcPr>
          <w:p>
            <w:pPr>
              <w:spacing w:after="40"/>
            </w:pPr>
            <w:r>
              <w:rPr>
                <w:sz w:val="18"/>
              </w:rPr>
              <w:t>Well-preserved medieval fort with multiple historic phases.</w:t>
            </w:r>
          </w:p>
        </w:tc>
        <w:tc>
          <w:tcPr>
            <w:tcW w:type="dxa" w:w="3168"/>
            <w:shd w:fill="F5F3FF"/>
          </w:tcPr>
          <w:p>
            <w:pPr>
              <w:spacing w:after="40"/>
            </w:pPr>
            <w:r>
              <w:rPr>
                <w:sz w:val="18"/>
              </w:rPr>
              <w:t>Chanderi Fort (Kirti Durg) on commanding hilltop position.</w:t>
            </w:r>
          </w:p>
        </w:tc>
        <w:tc>
          <w:tcPr>
            <w:tcW w:type="dxa" w:w="2160"/>
            <w:shd w:fill="F5F3FF"/>
          </w:tcPr>
          <w:p>
            <w:pPr>
              <w:spacing w:after="40"/>
            </w:pPr>
            <w:r>
              <w:rPr>
                <w:sz w:val="18"/>
              </w:rPr>
              <w:t>HIGH [CHA-S001]</w:t>
            </w:r>
          </w:p>
        </w:tc>
      </w:tr>
      <w:tr>
        <w:tc>
          <w:tcPr>
            <w:tcW w:type="dxa" w:w="2160"/>
            <w:shd w:fill="FFFFFF"/>
          </w:tcPr>
          <w:p>
            <w:pPr>
              <w:spacing w:after="40"/>
            </w:pPr>
            <w:r>
              <w:rPr>
                <w:sz w:val="18"/>
              </w:rPr>
              <w:t>Textile Heritage</w:t>
            </w:r>
          </w:p>
        </w:tc>
        <w:tc>
          <w:tcPr>
            <w:tcW w:type="dxa" w:w="3600"/>
            <w:shd w:fill="FFFFFF"/>
          </w:tcPr>
          <w:p>
            <w:pPr>
              <w:spacing w:after="40"/>
            </w:pPr>
            <w:r>
              <w:rPr>
                <w:sz w:val="18"/>
              </w:rPr>
              <w:t>World-famous handwoven Chanderi fabric; GI-tagged in 2005.</w:t>
            </w:r>
          </w:p>
        </w:tc>
        <w:tc>
          <w:tcPr>
            <w:tcW w:type="dxa" w:w="3168"/>
            <w:shd w:fill="FFFFFF"/>
          </w:tcPr>
          <w:p>
            <w:pPr>
              <w:spacing w:after="40"/>
            </w:pPr>
            <w:r>
              <w:rPr>
                <w:sz w:val="18"/>
              </w:rPr>
              <w:t>Chanderi saree/fabric — sheer silk-cotton weave.</w:t>
            </w:r>
          </w:p>
        </w:tc>
        <w:tc>
          <w:tcPr>
            <w:tcW w:type="dxa" w:w="2160"/>
            <w:shd w:fill="FFFFFF"/>
          </w:tcPr>
          <w:p>
            <w:pPr>
              <w:spacing w:after="40"/>
            </w:pPr>
            <w:r>
              <w:rPr>
                <w:sz w:val="18"/>
              </w:rPr>
              <w:t>HIGH [CHA-S006]</w:t>
            </w:r>
          </w:p>
        </w:tc>
      </w:tr>
      <w:tr>
        <w:tc>
          <w:tcPr>
            <w:tcW w:type="dxa" w:w="2160"/>
            <w:shd w:fill="F5F3FF"/>
          </w:tcPr>
          <w:p>
            <w:pPr>
              <w:spacing w:after="40"/>
            </w:pPr>
            <w:r>
              <w:rPr>
                <w:sz w:val="18"/>
              </w:rPr>
              <w:t>Religious Heritage</w:t>
            </w:r>
          </w:p>
        </w:tc>
        <w:tc>
          <w:tcPr>
            <w:tcW w:type="dxa" w:w="3600"/>
            <w:shd w:fill="F5F3FF"/>
          </w:tcPr>
          <w:p>
            <w:pPr>
              <w:spacing w:after="40"/>
            </w:pPr>
            <w:r>
              <w:rPr>
                <w:sz w:val="18"/>
              </w:rPr>
              <w:t>Exceptional religious diversity: Hindu, Jain, Islamic, Sufi.</w:t>
            </w:r>
          </w:p>
        </w:tc>
        <w:tc>
          <w:tcPr>
            <w:tcW w:type="dxa" w:w="3168"/>
            <w:shd w:fill="F5F3FF"/>
          </w:tcPr>
          <w:p>
            <w:pPr>
              <w:spacing w:after="40"/>
            </w:pPr>
            <w:r>
              <w:rPr>
                <w:sz w:val="18"/>
              </w:rPr>
              <w:t>Jama Masjid, Jain temples, Hindu temples, stepwells.</w:t>
            </w:r>
          </w:p>
        </w:tc>
        <w:tc>
          <w:tcPr>
            <w:tcW w:type="dxa" w:w="2160"/>
            <w:shd w:fill="F5F3FF"/>
          </w:tcPr>
          <w:p>
            <w:pPr>
              <w:spacing w:after="40"/>
            </w:pPr>
            <w:r>
              <w:rPr>
                <w:sz w:val="18"/>
              </w:rPr>
              <w:t>HIGH [CHA-S001]</w:t>
            </w:r>
          </w:p>
        </w:tc>
      </w:tr>
      <w:tr>
        <w:tc>
          <w:tcPr>
            <w:tcW w:type="dxa" w:w="2160"/>
            <w:shd w:fill="FFFFFF"/>
          </w:tcPr>
          <w:p>
            <w:pPr>
              <w:spacing w:after="40"/>
            </w:pPr>
            <w:r>
              <w:rPr>
                <w:sz w:val="18"/>
              </w:rPr>
              <w:t>Water Heritage</w:t>
            </w:r>
          </w:p>
        </w:tc>
        <w:tc>
          <w:tcPr>
            <w:tcW w:type="dxa" w:w="3600"/>
            <w:shd w:fill="FFFFFF"/>
          </w:tcPr>
          <w:p>
            <w:pPr>
              <w:spacing w:after="40"/>
            </w:pPr>
            <w:r>
              <w:rPr>
                <w:sz w:val="18"/>
              </w:rPr>
              <w:t>Significant historic stepwells and lake systems.</w:t>
            </w:r>
          </w:p>
        </w:tc>
        <w:tc>
          <w:tcPr>
            <w:tcW w:type="dxa" w:w="3168"/>
            <w:shd w:fill="FFFFFF"/>
          </w:tcPr>
          <w:p>
            <w:pPr>
              <w:spacing w:after="40"/>
            </w:pPr>
            <w:r>
              <w:rPr>
                <w:sz w:val="18"/>
              </w:rPr>
              <w:t>Kanchan Sagar Lake, multiple documented stepwells.</w:t>
            </w:r>
          </w:p>
        </w:tc>
        <w:tc>
          <w:tcPr>
            <w:tcW w:type="dxa" w:w="2160"/>
            <w:shd w:fill="FFFFFF"/>
          </w:tcPr>
          <w:p>
            <w:pPr>
              <w:spacing w:after="40"/>
            </w:pPr>
            <w:r>
              <w:rPr>
                <w:sz w:val="18"/>
              </w:rPr>
              <w:t>HIGH [CHA-S001]</w:t>
            </w:r>
          </w:p>
        </w:tc>
      </w:tr>
      <w:tr>
        <w:tc>
          <w:tcPr>
            <w:tcW w:type="dxa" w:w="2160"/>
            <w:shd w:fill="F5F3FF"/>
          </w:tcPr>
          <w:p>
            <w:pPr>
              <w:spacing w:after="40"/>
            </w:pPr>
            <w:r>
              <w:rPr>
                <w:sz w:val="18"/>
              </w:rPr>
              <w:t>Living Heritage</w:t>
            </w:r>
          </w:p>
        </w:tc>
        <w:tc>
          <w:tcPr>
            <w:tcW w:type="dxa" w:w="3600"/>
            <w:shd w:fill="F5F3FF"/>
          </w:tcPr>
          <w:p>
            <w:pPr>
              <w:spacing w:after="40"/>
            </w:pPr>
            <w:r>
              <w:rPr>
                <w:sz w:val="18"/>
              </w:rPr>
              <w:t>Handloom weaving still practiced in thousands of households.</w:t>
            </w:r>
          </w:p>
        </w:tc>
        <w:tc>
          <w:tcPr>
            <w:tcW w:type="dxa" w:w="3168"/>
            <w:shd w:fill="F5F3FF"/>
          </w:tcPr>
          <w:p>
            <w:pPr>
              <w:spacing w:after="40"/>
            </w:pPr>
            <w:r>
              <w:rPr>
                <w:sz w:val="18"/>
              </w:rPr>
              <w:t>Active weaver neighbourhood; cooperative system.</w:t>
            </w:r>
          </w:p>
        </w:tc>
        <w:tc>
          <w:tcPr>
            <w:tcW w:type="dxa" w:w="2160"/>
            <w:shd w:fill="F5F3FF"/>
          </w:tcPr>
          <w:p>
            <w:pPr>
              <w:spacing w:after="40"/>
            </w:pPr>
            <w:r>
              <w:rPr>
                <w:sz w:val="18"/>
              </w:rPr>
              <w:t>HIGH [CHA-S005]</w:t>
            </w:r>
          </w:p>
        </w:tc>
      </w:tr>
    </w:tbl>
    <w:p>
      <w:pPr>
        <w:spacing w:after="120"/>
      </w:pP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[RESEARCH METHODOLOGY NOTE]</w:t>
              <w:br/>
            </w:r>
            <w:r>
              <w:rPr>
                <w:sz w:val="19"/>
              </w:rPr>
              <w:t>Chanderi is both an archaeological zone and a living town. Research must distinguish: (a) historically documented facts, (b) architectural evidence, (c) community oral traditions, and (d) modern practices, at all times. This research package follows that standard throughout.</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