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02. Geography &amp; Environmental Context</w:t>
      </w:r>
    </w:p>
    <w:p>
      <w:pPr>
        <w:spacing w:before="280" w:after="120"/>
      </w:pPr>
      <w:r>
        <w:rPr>
          <w:rFonts w:ascii="Arial" w:hAnsi="Arial"/>
          <w:b/>
          <w:color w:val="6D28D9"/>
          <w:sz w:val="30"/>
        </w:rPr>
        <w:t>1. Location &amp; Physical Setting</w:t>
      </w:r>
    </w:p>
    <w:p>
      <w:pPr>
        <w:spacing w:after="120" w:line="276" w:lineRule="auto"/>
      </w:pPr>
      <w:r>
        <w:rPr>
          <w:i w:val="0"/>
        </w:rPr>
        <w:t>Chanderi occupies a strategically significant position on the transitional belt between the Bundelkhand plateau to the northeast and the Malwa uplands to the southwest. The town is set among rocky quartzite hills of the Vindhyan range, with the medieval fort occupying a commanding rocky hilltop that overlooks the historic town below. This topographic position was a primary determinant of Chanderi's military and commercial importance [Source: CHA-S001, CHA-S004].</w:t>
      </w:r>
    </w:p>
    <w:p>
      <w:pPr>
        <w:pStyle w:val="ListBullet"/>
        <w:spacing w:after="80" w:line="276" w:lineRule="auto"/>
      </w:pPr>
      <w:r>
        <w:rPr>
          <w:b/>
          <w:color w:val="78350F"/>
        </w:rPr>
        <w:t xml:space="preserve">Administrative &amp; Distance Context: </w:t>
      </w:r>
      <w:r>
        <w:t>Ashoknagar District, Madhya Pradesh. Approximately 230 km from Bhopal (southwest), 125 km from Jhansi (northeast), and 37 km from Lalitpur (Uttar Pradesh border).</w:t>
      </w:r>
    </w:p>
    <w:p>
      <w:pPr>
        <w:pStyle w:val="ListBullet"/>
        <w:spacing w:after="80" w:line="276" w:lineRule="auto"/>
      </w:pPr>
      <w:r>
        <w:rPr>
          <w:b/>
          <w:color w:val="78350F"/>
        </w:rPr>
        <w:t xml:space="preserve">River Systems: </w:t>
      </w:r>
      <w:r>
        <w:t>Betwa River (also called Vetravati in classical sources) flows to the northeast — historically the primary river system of the Bundelkhand region and a significant trade route corridor.</w:t>
      </w:r>
    </w:p>
    <w:p>
      <w:pPr>
        <w:pStyle w:val="ListBullet"/>
        <w:spacing w:after="80" w:line="276" w:lineRule="auto"/>
      </w:pPr>
      <w:r>
        <w:rPr>
          <w:b/>
          <w:color w:val="78350F"/>
        </w:rPr>
        <w:t xml:space="preserve">Local Water Bodies: </w:t>
      </w:r>
      <w:r>
        <w:t>Kanchan Sagar Lake and Jaganeshwar Lake are the primary historic water bodies within and adjacent to the town, supplemented by multiple tank and stepwell systems built during medieval period.</w:t>
      </w:r>
    </w:p>
    <w:p>
      <w:pPr>
        <w:pStyle w:val="ListBullet"/>
        <w:spacing w:after="80" w:line="276" w:lineRule="auto"/>
      </w:pPr>
      <w:r>
        <w:rPr>
          <w:b/>
          <w:color w:val="78350F"/>
        </w:rPr>
        <w:t xml:space="preserve">Landscape Character: </w:t>
      </w:r>
      <w:r>
        <w:t>Chanderi lies in a semi-arid landscape with rocky scrub forest on the hills, agricultural land in the valley bottoms, and the town itself nestled between the fort hill and the lake system.</w:t>
      </w:r>
    </w:p>
    <w:p>
      <w:pPr>
        <w:spacing w:before="200" w:after="80"/>
      </w:pPr>
      <w:r>
        <w:rPr>
          <w:rFonts w:ascii="Arial" w:hAnsi="Arial"/>
          <w:b/>
          <w:color w:val="78350F"/>
          <w:sz w:val="26"/>
        </w:rPr>
        <w:t>2. Geography's Influence on Chanderi's Development</w:t>
      </w:r>
    </w:p>
    <w:tbl>
      <w:tblPr>
        <w:tblW w:type="auto" w:w="0"/>
        <w:jc w:val="center"/>
        <w:tblLook w:firstColumn="1" w:firstRow="1" w:lastColumn="0" w:lastRow="0" w:noHBand="0" w:noVBand="1" w:val="04A0"/>
      </w:tblPr>
      <w:tblGrid>
        <w:gridCol w:w="3120"/>
        <w:gridCol w:w="3120"/>
        <w:gridCol w:w="3120"/>
      </w:tblGrid>
      <w:tr>
        <w:tc>
          <w:tcPr>
            <w:tcW w:type="dxa" w:w="2880"/>
            <w:shd w:fill="6D28D9"/>
          </w:tcPr>
          <w:p>
            <w:pPr>
              <w:spacing w:after="40"/>
              <w:jc w:val="left"/>
            </w:pPr>
            <w:r>
              <w:rPr>
                <w:rFonts w:ascii="Arial" w:hAnsi="Arial"/>
                <w:b/>
                <w:color w:val="FFFFFF"/>
                <w:sz w:val="19"/>
              </w:rPr>
              <w:t>Geographic Feature</w:t>
            </w:r>
          </w:p>
        </w:tc>
        <w:tc>
          <w:tcPr>
            <w:tcW w:type="dxa" w:w="2880"/>
            <w:shd w:fill="6D28D9"/>
          </w:tcPr>
          <w:p>
            <w:pPr>
              <w:spacing w:after="40"/>
              <w:jc w:val="left"/>
            </w:pPr>
            <w:r>
              <w:rPr>
                <w:rFonts w:ascii="Arial" w:hAnsi="Arial"/>
                <w:b/>
                <w:color w:val="FFFFFF"/>
                <w:sz w:val="19"/>
              </w:rPr>
              <w:t>Physical Description</w:t>
            </w:r>
          </w:p>
        </w:tc>
        <w:tc>
          <w:tcPr>
            <w:tcW w:type="dxa" w:w="6048"/>
            <w:shd w:fill="6D28D9"/>
          </w:tcPr>
          <w:p>
            <w:pPr>
              <w:spacing w:after="40"/>
              <w:jc w:val="left"/>
            </w:pPr>
            <w:r>
              <w:rPr>
                <w:rFonts w:ascii="Arial" w:hAnsi="Arial"/>
                <w:b/>
                <w:color w:val="FFFFFF"/>
                <w:sz w:val="19"/>
              </w:rPr>
              <w:t>Influence on Chanderi's Heritage</w:t>
            </w:r>
          </w:p>
        </w:tc>
      </w:tr>
      <w:tr>
        <w:tc>
          <w:tcPr>
            <w:tcW w:type="dxa" w:w="2880"/>
            <w:shd w:fill="FFFFFF"/>
          </w:tcPr>
          <w:p>
            <w:pPr>
              <w:spacing w:after="40"/>
            </w:pPr>
            <w:r>
              <w:rPr>
                <w:sz w:val="18"/>
              </w:rPr>
              <w:t>Fort Hill (Kirti Durg plateau)</w:t>
            </w:r>
          </w:p>
        </w:tc>
        <w:tc>
          <w:tcPr>
            <w:tcW w:type="dxa" w:w="2880"/>
            <w:shd w:fill="FFFFFF"/>
          </w:tcPr>
          <w:p>
            <w:pPr>
              <w:spacing w:after="40"/>
            </w:pPr>
            <w:r>
              <w:rPr>
                <w:sz w:val="18"/>
              </w:rPr>
              <w:t>Steep quartzite hill rising ~100 m above town level.</w:t>
            </w:r>
          </w:p>
        </w:tc>
        <w:tc>
          <w:tcPr>
            <w:tcW w:type="dxa" w:w="6048"/>
            <w:shd w:fill="FFFFFF"/>
          </w:tcPr>
          <w:p>
            <w:pPr>
              <w:spacing w:after="40"/>
            </w:pPr>
            <w:r>
              <w:rPr>
                <w:sz w:val="18"/>
              </w:rPr>
              <w:t>Military defense; controlling vantage point; determined town layout at its base.</w:t>
            </w:r>
          </w:p>
        </w:tc>
      </w:tr>
      <w:tr>
        <w:tc>
          <w:tcPr>
            <w:tcW w:type="dxa" w:w="2880"/>
            <w:shd w:fill="F5F3FF"/>
          </w:tcPr>
          <w:p>
            <w:pPr>
              <w:spacing w:after="40"/>
            </w:pPr>
            <w:r>
              <w:rPr>
                <w:sz w:val="18"/>
              </w:rPr>
              <w:t>Valley Floor</w:t>
            </w:r>
          </w:p>
        </w:tc>
        <w:tc>
          <w:tcPr>
            <w:tcW w:type="dxa" w:w="2880"/>
            <w:shd w:fill="F5F3FF"/>
          </w:tcPr>
          <w:p>
            <w:pPr>
              <w:spacing w:after="40"/>
            </w:pPr>
            <w:r>
              <w:rPr>
                <w:sz w:val="18"/>
              </w:rPr>
              <w:t>Flat valley between hills; rich agricultural soil.</w:t>
            </w:r>
          </w:p>
        </w:tc>
        <w:tc>
          <w:tcPr>
            <w:tcW w:type="dxa" w:w="6048"/>
            <w:shd w:fill="F5F3FF"/>
          </w:tcPr>
          <w:p>
            <w:pPr>
              <w:spacing w:after="40"/>
            </w:pPr>
            <w:r>
              <w:rPr>
                <w:sz w:val="18"/>
              </w:rPr>
              <w:t>Location of historic markets, weaver neighborhoods, residential town.</w:t>
            </w:r>
          </w:p>
        </w:tc>
      </w:tr>
      <w:tr>
        <w:tc>
          <w:tcPr>
            <w:tcW w:type="dxa" w:w="2880"/>
            <w:shd w:fill="FFFFFF"/>
          </w:tcPr>
          <w:p>
            <w:pPr>
              <w:spacing w:after="40"/>
            </w:pPr>
            <w:r>
              <w:rPr>
                <w:sz w:val="18"/>
              </w:rPr>
              <w:t>Kanchan Sagar Lake</w:t>
            </w:r>
          </w:p>
        </w:tc>
        <w:tc>
          <w:tcPr>
            <w:tcW w:type="dxa" w:w="2880"/>
            <w:shd w:fill="FFFFFF"/>
          </w:tcPr>
          <w:p>
            <w:pPr>
              <w:spacing w:after="40"/>
            </w:pPr>
            <w:r>
              <w:rPr>
                <w:sz w:val="18"/>
              </w:rPr>
              <w:t>Large artificial / enhanced lake system west of town.</w:t>
            </w:r>
          </w:p>
        </w:tc>
        <w:tc>
          <w:tcPr>
            <w:tcW w:type="dxa" w:w="6048"/>
            <w:shd w:fill="FFFFFF"/>
          </w:tcPr>
          <w:p>
            <w:pPr>
              <w:spacing w:after="40"/>
            </w:pPr>
            <w:r>
              <w:rPr>
                <w:sz w:val="18"/>
              </w:rPr>
              <w:t>Water storage; agriculture irrigation; religious importance; trade point.</w:t>
            </w:r>
          </w:p>
        </w:tc>
      </w:tr>
      <w:tr>
        <w:tc>
          <w:tcPr>
            <w:tcW w:type="dxa" w:w="2880"/>
            <w:shd w:fill="F5F3FF"/>
          </w:tcPr>
          <w:p>
            <w:pPr>
              <w:spacing w:after="40"/>
            </w:pPr>
            <w:r>
              <w:rPr>
                <w:sz w:val="18"/>
              </w:rPr>
              <w:t>Betwa River Corridor</w:t>
            </w:r>
          </w:p>
        </w:tc>
        <w:tc>
          <w:tcPr>
            <w:tcW w:type="dxa" w:w="2880"/>
            <w:shd w:fill="F5F3FF"/>
          </w:tcPr>
          <w:p>
            <w:pPr>
              <w:spacing w:after="40"/>
            </w:pPr>
            <w:r>
              <w:rPr>
                <w:sz w:val="18"/>
              </w:rPr>
              <w:t>River system 50–70 km to northeast.</w:t>
            </w:r>
          </w:p>
        </w:tc>
        <w:tc>
          <w:tcPr>
            <w:tcW w:type="dxa" w:w="6048"/>
            <w:shd w:fill="F5F3FF"/>
          </w:tcPr>
          <w:p>
            <w:pPr>
              <w:spacing w:after="40"/>
            </w:pPr>
            <w:r>
              <w:rPr>
                <w:sz w:val="18"/>
              </w:rPr>
              <w:t>Trade route connectivity to Bundelkhand and northern India.</w:t>
            </w:r>
          </w:p>
        </w:tc>
      </w:tr>
      <w:tr>
        <w:tc>
          <w:tcPr>
            <w:tcW w:type="dxa" w:w="2880"/>
            <w:shd w:fill="FFFFFF"/>
          </w:tcPr>
          <w:p>
            <w:pPr>
              <w:spacing w:after="40"/>
            </w:pPr>
            <w:r>
              <w:rPr>
                <w:sz w:val="18"/>
              </w:rPr>
              <w:t>Malwa Plateau Access</w:t>
            </w:r>
          </w:p>
        </w:tc>
        <w:tc>
          <w:tcPr>
            <w:tcW w:type="dxa" w:w="2880"/>
            <w:shd w:fill="FFFFFF"/>
          </w:tcPr>
          <w:p>
            <w:pPr>
              <w:spacing w:after="40"/>
            </w:pPr>
            <w:r>
              <w:rPr>
                <w:sz w:val="18"/>
              </w:rPr>
              <w:t>Open plateau landscape to southwest.</w:t>
            </w:r>
          </w:p>
        </w:tc>
        <w:tc>
          <w:tcPr>
            <w:tcW w:type="dxa" w:w="6048"/>
            <w:shd w:fill="FFFFFF"/>
          </w:tcPr>
          <w:p>
            <w:pPr>
              <w:spacing w:after="40"/>
            </w:pPr>
            <w:r>
              <w:rPr>
                <w:sz w:val="18"/>
              </w:rPr>
              <w:t>Trade connectivity to Malwa, Gujarat, and western India routes.</w:t>
            </w:r>
          </w:p>
        </w:tc>
      </w:tr>
      <w:tr>
        <w:tc>
          <w:tcPr>
            <w:tcW w:type="dxa" w:w="2880"/>
            <w:shd w:fill="F5F3FF"/>
          </w:tcPr>
          <w:p>
            <w:pPr>
              <w:spacing w:after="40"/>
            </w:pPr>
            <w:r>
              <w:rPr>
                <w:sz w:val="18"/>
              </w:rPr>
              <w:t>Quartzite Rock Formation</w:t>
            </w:r>
          </w:p>
        </w:tc>
        <w:tc>
          <w:tcPr>
            <w:tcW w:type="dxa" w:w="2880"/>
            <w:shd w:fill="F5F3FF"/>
          </w:tcPr>
          <w:p>
            <w:pPr>
              <w:spacing w:after="40"/>
            </w:pPr>
            <w:r>
              <w:rPr>
                <w:sz w:val="18"/>
              </w:rPr>
              <w:t>Local Vindhyan quartzite and sandstone.</w:t>
            </w:r>
          </w:p>
        </w:tc>
        <w:tc>
          <w:tcPr>
            <w:tcW w:type="dxa" w:w="6048"/>
            <w:shd w:fill="F5F3FF"/>
          </w:tcPr>
          <w:p>
            <w:pPr>
              <w:spacing w:after="40"/>
            </w:pPr>
            <w:r>
              <w:rPr>
                <w:sz w:val="18"/>
              </w:rPr>
              <w:t>Primary building material for fort walls, gates, stepwells, temples.</w:t>
            </w:r>
          </w:p>
        </w:tc>
      </w:tr>
      <w:tr>
        <w:tc>
          <w:tcPr>
            <w:tcW w:type="dxa" w:w="2880"/>
            <w:shd w:fill="FFFFFF"/>
          </w:tcPr>
          <w:p>
            <w:pPr>
              <w:spacing w:after="40"/>
            </w:pPr>
            <w:r>
              <w:rPr>
                <w:sz w:val="18"/>
              </w:rPr>
              <w:t>Semi-arid Climate</w:t>
            </w:r>
          </w:p>
        </w:tc>
        <w:tc>
          <w:tcPr>
            <w:tcW w:type="dxa" w:w="2880"/>
            <w:shd w:fill="FFFFFF"/>
          </w:tcPr>
          <w:p>
            <w:pPr>
              <w:spacing w:after="40"/>
            </w:pPr>
            <w:r>
              <w:rPr>
                <w:sz w:val="18"/>
              </w:rPr>
              <w:t>~900 mm annual rainfall; hot dry summers.</w:t>
            </w:r>
          </w:p>
        </w:tc>
        <w:tc>
          <w:tcPr>
            <w:tcW w:type="dxa" w:w="6048"/>
            <w:shd w:fill="FFFFFF"/>
          </w:tcPr>
          <w:p>
            <w:pPr>
              <w:spacing w:after="40"/>
            </w:pPr>
            <w:r>
              <w:rPr>
                <w:sz w:val="18"/>
              </w:rPr>
              <w:t>Necessity of water harvesting (stepwells, tanks, lakes) as core urban infrastructure.</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[GEOGRAPHIC SIGNIFICANCE NOTE]</w:t>
              <w:br/>
            </w:r>
            <w:r>
              <w:rPr>
                <w:sz w:val="19"/>
              </w:rPr>
              <w:t>Chanderi's position on the Bundelkhand-Malwa border was not accidental — this geographic location made it a natural crossroads between two major cultural and commercial zones of Central India, explaining its rise as a significant medieval town.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