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07. Historical Rulers &amp; Political Figures</w:t>
      </w:r>
    </w:p>
    <w:p>
      <w:pPr>
        <w:spacing w:before="280" w:after="120"/>
      </w:pPr>
      <w:r>
        <w:rPr>
          <w:rFonts w:ascii="Arial" w:hAnsi="Arial"/>
          <w:b/>
          <w:color w:val="6D28D9"/>
          <w:sz w:val="30"/>
        </w:rPr>
        <w:t>1. Key Figures in Chanderi's Political History</w:t>
      </w:r>
    </w:p>
    <w:p>
      <w:pPr>
        <w:spacing w:after="120" w:line="276" w:lineRule="auto"/>
      </w:pPr>
      <w:r>
        <w:rPr>
          <w:i w:val="0"/>
        </w:rPr>
        <w:t>The following profiles cover the most significant rulers and political figures associated with Chanderi's documented history. Confidence levels are assigned based on source quality. All profiles are based on historical documentation, not legend.</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2160"/>
            <w:shd w:fill="6D28D9"/>
          </w:tcPr>
          <w:p>
            <w:pPr>
              <w:spacing w:after="40"/>
              <w:jc w:val="left"/>
            </w:pPr>
            <w:r>
              <w:rPr>
                <w:rFonts w:ascii="Arial" w:hAnsi="Arial"/>
                <w:b/>
                <w:color w:val="FFFFFF"/>
                <w:sz w:val="19"/>
              </w:rPr>
              <w:t>Name</w:t>
            </w:r>
          </w:p>
        </w:tc>
        <w:tc>
          <w:tcPr>
            <w:tcW w:type="dxa" w:w="1872"/>
            <w:shd w:fill="6D28D9"/>
          </w:tcPr>
          <w:p>
            <w:pPr>
              <w:spacing w:after="40"/>
              <w:jc w:val="left"/>
            </w:pPr>
            <w:r>
              <w:rPr>
                <w:rFonts w:ascii="Arial" w:hAnsi="Arial"/>
                <w:b/>
                <w:color w:val="FFFFFF"/>
                <w:sz w:val="19"/>
              </w:rPr>
              <w:t>Period</w:t>
            </w:r>
          </w:p>
        </w:tc>
        <w:tc>
          <w:tcPr>
            <w:tcW w:type="dxa" w:w="2592"/>
            <w:shd w:fill="6D28D9"/>
          </w:tcPr>
          <w:p>
            <w:pPr>
              <w:spacing w:after="40"/>
              <w:jc w:val="left"/>
            </w:pPr>
            <w:r>
              <w:rPr>
                <w:rFonts w:ascii="Arial" w:hAnsi="Arial"/>
                <w:b/>
                <w:color w:val="FFFFFF"/>
                <w:sz w:val="19"/>
              </w:rPr>
              <w:t>Dynasty/Role</w:t>
            </w:r>
          </w:p>
        </w:tc>
        <w:tc>
          <w:tcPr>
            <w:tcW w:type="dxa" w:w="3168"/>
            <w:shd w:fill="6D28D9"/>
          </w:tcPr>
          <w:p>
            <w:pPr>
              <w:spacing w:after="40"/>
              <w:jc w:val="left"/>
            </w:pPr>
            <w:r>
              <w:rPr>
                <w:rFonts w:ascii="Arial" w:hAnsi="Arial"/>
                <w:b/>
                <w:color w:val="FFFFFF"/>
                <w:sz w:val="19"/>
              </w:rPr>
              <w:t>Relationship with Chanderi</w:t>
            </w:r>
          </w:p>
        </w:tc>
        <w:tc>
          <w:tcPr>
            <w:tcW w:type="dxa" w:w="2592"/>
            <w:shd w:fill="6D28D9"/>
          </w:tcPr>
          <w:p>
            <w:pPr>
              <w:spacing w:after="40"/>
              <w:jc w:val="left"/>
            </w:pPr>
            <w:r>
              <w:rPr>
                <w:rFonts w:ascii="Arial" w:hAnsi="Arial"/>
                <w:b/>
                <w:color w:val="FFFFFF"/>
                <w:sz w:val="19"/>
              </w:rPr>
              <w:t>Key Contribution</w:t>
            </w:r>
          </w:p>
        </w:tc>
        <w:tc>
          <w:tcPr>
            <w:tcW w:type="dxa" w:w="1728"/>
            <w:shd w:fill="6D28D9"/>
          </w:tcPr>
          <w:p>
            <w:pPr>
              <w:spacing w:after="40"/>
              <w:jc w:val="left"/>
            </w:pPr>
            <w:r>
              <w:rPr>
                <w:rFonts w:ascii="Arial" w:hAnsi="Arial"/>
                <w:b/>
                <w:color w:val="FFFFFF"/>
                <w:sz w:val="19"/>
              </w:rPr>
              <w:t>Source</w:t>
            </w:r>
          </w:p>
        </w:tc>
        <w:tc>
          <w:tcPr>
            <w:tcW w:type="dxa" w:w="1296"/>
            <w:shd w:fill="6D28D9"/>
          </w:tcPr>
          <w:p>
            <w:pPr>
              <w:spacing w:after="40"/>
              <w:jc w:val="left"/>
            </w:pPr>
            <w:r>
              <w:rPr>
                <w:rFonts w:ascii="Arial" w:hAnsi="Arial"/>
                <w:b/>
                <w:color w:val="FFFFFF"/>
                <w:sz w:val="19"/>
              </w:rPr>
              <w:t>Confidence</w:t>
            </w:r>
          </w:p>
        </w:tc>
      </w:tr>
      <w:tr>
        <w:tc>
          <w:tcPr>
            <w:tcW w:type="dxa" w:w="2160"/>
            <w:shd w:fill="FFFFFF"/>
          </w:tcPr>
          <w:p>
            <w:pPr>
              <w:spacing w:after="40"/>
            </w:pPr>
            <w:r>
              <w:rPr>
                <w:sz w:val="18"/>
              </w:rPr>
              <w:t>Medini Rai</w:t>
            </w:r>
          </w:p>
        </w:tc>
        <w:tc>
          <w:tcPr>
            <w:tcW w:type="dxa" w:w="1872"/>
            <w:shd w:fill="FFFFFF"/>
          </w:tcPr>
          <w:p>
            <w:pPr>
              <w:spacing w:after="40"/>
            </w:pPr>
            <w:r>
              <w:rPr>
                <w:sz w:val="18"/>
              </w:rPr>
              <w:t>c. 1519–1528 CE</w:t>
            </w:r>
          </w:p>
        </w:tc>
        <w:tc>
          <w:tcPr>
            <w:tcW w:type="dxa" w:w="2592"/>
            <w:shd w:fill="FFFFFF"/>
          </w:tcPr>
          <w:p>
            <w:pPr>
              <w:spacing w:after="40"/>
            </w:pPr>
            <w:r>
              <w:rPr>
                <w:sz w:val="18"/>
              </w:rPr>
              <w:t>Rajput chieftain; de facto ruler of Chanderi</w:t>
            </w:r>
          </w:p>
        </w:tc>
        <w:tc>
          <w:tcPr>
            <w:tcW w:type="dxa" w:w="3168"/>
            <w:shd w:fill="FFFFFF"/>
          </w:tcPr>
          <w:p>
            <w:pPr>
              <w:spacing w:after="40"/>
            </w:pPr>
            <w:r>
              <w:rPr>
                <w:sz w:val="18"/>
              </w:rPr>
              <w:t>Held Chanderi as his principal stronghold; defended it against Babur (1528).</w:t>
            </w:r>
          </w:p>
        </w:tc>
        <w:tc>
          <w:tcPr>
            <w:tcW w:type="dxa" w:w="2592"/>
            <w:shd w:fill="FFFFFF"/>
          </w:tcPr>
          <w:p>
            <w:pPr>
              <w:spacing w:after="40"/>
            </w:pPr>
            <w:r>
              <w:rPr>
                <w:sz w:val="18"/>
              </w:rPr>
              <w:t>Central figure in Battle of Chanderi. His defeat marks beginning of Mughal control.</w:t>
            </w:r>
          </w:p>
        </w:tc>
        <w:tc>
          <w:tcPr>
            <w:tcW w:type="dxa" w:w="1728"/>
            <w:shd w:fill="FFFFFF"/>
          </w:tcPr>
          <w:p>
            <w:pPr>
              <w:spacing w:after="40"/>
            </w:pPr>
            <w:r>
              <w:rPr>
                <w:sz w:val="18"/>
              </w:rPr>
              <w:t>Baburnama [CHA-S003]</w:t>
            </w:r>
          </w:p>
        </w:tc>
        <w:tc>
          <w:tcPr>
            <w:tcW w:type="dxa" w:w="1296"/>
            <w:shd w:fill="FFFFFF"/>
          </w:tcPr>
          <w:p>
            <w:pPr>
              <w:spacing w:after="40"/>
            </w:pPr>
            <w:r>
              <w:rPr>
                <w:sz w:val="18"/>
              </w:rPr>
              <w:t>HIGH</w:t>
            </w:r>
          </w:p>
        </w:tc>
      </w:tr>
      <w:tr>
        <w:tc>
          <w:tcPr>
            <w:tcW w:type="dxa" w:w="2160"/>
            <w:shd w:fill="F5F3FF"/>
          </w:tcPr>
          <w:p>
            <w:pPr>
              <w:spacing w:after="40"/>
            </w:pPr>
            <w:r>
              <w:rPr>
                <w:sz w:val="18"/>
              </w:rPr>
              <w:t>Zahir-ud-Din Muhammad Babur</w:t>
            </w:r>
          </w:p>
        </w:tc>
        <w:tc>
          <w:tcPr>
            <w:tcW w:type="dxa" w:w="1872"/>
            <w:shd w:fill="F5F3FF"/>
          </w:tcPr>
          <w:p>
            <w:pPr>
              <w:spacing w:after="40"/>
            </w:pPr>
            <w:r>
              <w:rPr>
                <w:sz w:val="18"/>
              </w:rPr>
              <w:t>1526–1530 CE (Mughal Emperor)</w:t>
            </w:r>
          </w:p>
        </w:tc>
        <w:tc>
          <w:tcPr>
            <w:tcW w:type="dxa" w:w="2592"/>
            <w:shd w:fill="F5F3FF"/>
          </w:tcPr>
          <w:p>
            <w:pPr>
              <w:spacing w:after="40"/>
            </w:pPr>
            <w:r>
              <w:rPr>
                <w:sz w:val="18"/>
              </w:rPr>
              <w:t>Mughal Empire (founder)</w:t>
            </w:r>
          </w:p>
        </w:tc>
        <w:tc>
          <w:tcPr>
            <w:tcW w:type="dxa" w:w="3168"/>
            <w:shd w:fill="F5F3FF"/>
          </w:tcPr>
          <w:p>
            <w:pPr>
              <w:spacing w:after="40"/>
            </w:pPr>
            <w:r>
              <w:rPr>
                <w:sz w:val="18"/>
              </w:rPr>
              <w:t>Conquered Chanderi in January 1528 CE; described in Baburnama.</w:t>
            </w:r>
          </w:p>
        </w:tc>
        <w:tc>
          <w:tcPr>
            <w:tcW w:type="dxa" w:w="2592"/>
            <w:shd w:fill="F5F3FF"/>
          </w:tcPr>
          <w:p>
            <w:pPr>
              <w:spacing w:after="40"/>
            </w:pPr>
            <w:r>
              <w:rPr>
                <w:sz w:val="18"/>
              </w:rPr>
              <w:t>First-hand account of Battle of Chanderi; established Mughal authority.</w:t>
            </w:r>
          </w:p>
        </w:tc>
        <w:tc>
          <w:tcPr>
            <w:tcW w:type="dxa" w:w="1728"/>
            <w:shd w:fill="F5F3FF"/>
          </w:tcPr>
          <w:p>
            <w:pPr>
              <w:spacing w:after="40"/>
            </w:pPr>
            <w:r>
              <w:rPr>
                <w:sz w:val="18"/>
              </w:rPr>
              <w:t>Baburnama [CHA-S003]</w:t>
            </w:r>
          </w:p>
        </w:tc>
        <w:tc>
          <w:tcPr>
            <w:tcW w:type="dxa" w:w="1296"/>
            <w:shd w:fill="F5F3FF"/>
          </w:tcPr>
          <w:p>
            <w:pPr>
              <w:spacing w:after="40"/>
            </w:pPr>
            <w:r>
              <w:rPr>
                <w:sz w:val="18"/>
              </w:rPr>
              <w:t>HIGH</w:t>
            </w:r>
          </w:p>
        </w:tc>
      </w:tr>
      <w:tr>
        <w:tc>
          <w:tcPr>
            <w:tcW w:type="dxa" w:w="2160"/>
            <w:shd w:fill="FFFFFF"/>
          </w:tcPr>
          <w:p>
            <w:pPr>
              <w:spacing w:after="40"/>
            </w:pPr>
            <w:r>
              <w:rPr>
                <w:sz w:val="18"/>
              </w:rPr>
              <w:t>Mahmud Shah Khalji I</w:t>
            </w:r>
          </w:p>
        </w:tc>
        <w:tc>
          <w:tcPr>
            <w:tcW w:type="dxa" w:w="1872"/>
            <w:shd w:fill="FFFFFF"/>
          </w:tcPr>
          <w:p>
            <w:pPr>
              <w:spacing w:after="40"/>
            </w:pPr>
            <w:r>
              <w:rPr>
                <w:sz w:val="18"/>
              </w:rPr>
              <w:t>c. 1436–1469 CE</w:t>
            </w:r>
          </w:p>
        </w:tc>
        <w:tc>
          <w:tcPr>
            <w:tcW w:type="dxa" w:w="2592"/>
            <w:shd w:fill="FFFFFF"/>
          </w:tcPr>
          <w:p>
            <w:pPr>
              <w:spacing w:after="40"/>
            </w:pPr>
            <w:r>
              <w:rPr>
                <w:sz w:val="18"/>
              </w:rPr>
              <w:t>Malwa Sultanate (Khalji dynasty)</w:t>
            </w:r>
          </w:p>
        </w:tc>
        <w:tc>
          <w:tcPr>
            <w:tcW w:type="dxa" w:w="3168"/>
            <w:shd w:fill="FFFFFF"/>
          </w:tcPr>
          <w:p>
            <w:pPr>
              <w:spacing w:after="40"/>
            </w:pPr>
            <w:r>
              <w:rPr>
                <w:sz w:val="18"/>
              </w:rPr>
              <w:t>Major patron of Chanderi during the Sultanate's peak; Koshak Mahal associated with this period.</w:t>
            </w:r>
          </w:p>
        </w:tc>
        <w:tc>
          <w:tcPr>
            <w:tcW w:type="dxa" w:w="2592"/>
            <w:shd w:fill="FFFFFF"/>
          </w:tcPr>
          <w:p>
            <w:pPr>
              <w:spacing w:after="40"/>
            </w:pPr>
            <w:r>
              <w:rPr>
                <w:sz w:val="18"/>
              </w:rPr>
              <w:t>Architectural patronage including Koshak Mahal (attributed, requires confirmation).</w:t>
            </w:r>
          </w:p>
        </w:tc>
        <w:tc>
          <w:tcPr>
            <w:tcW w:type="dxa" w:w="1728"/>
            <w:shd w:fill="FFFFFF"/>
          </w:tcPr>
          <w:p>
            <w:pPr>
              <w:spacing w:after="40"/>
            </w:pPr>
            <w:r>
              <w:rPr>
                <w:sz w:val="18"/>
              </w:rPr>
              <w:t>CHA-S008, CHA-S011</w:t>
            </w:r>
          </w:p>
        </w:tc>
        <w:tc>
          <w:tcPr>
            <w:tcW w:type="dxa" w:w="1296"/>
            <w:shd w:fill="FFFFFF"/>
          </w:tcPr>
          <w:p>
            <w:pPr>
              <w:spacing w:after="40"/>
            </w:pPr>
            <w:r>
              <w:rPr>
                <w:sz w:val="18"/>
              </w:rPr>
              <w:t>MEDIUM</w:t>
            </w:r>
          </w:p>
        </w:tc>
      </w:tr>
      <w:tr>
        <w:tc>
          <w:tcPr>
            <w:tcW w:type="dxa" w:w="2160"/>
            <w:shd w:fill="F5F3FF"/>
          </w:tcPr>
          <w:p>
            <w:pPr>
              <w:spacing w:after="40"/>
            </w:pPr>
            <w:r>
              <w:rPr>
                <w:sz w:val="18"/>
              </w:rPr>
              <w:t>Sher Shah Suri</w:t>
            </w:r>
          </w:p>
        </w:tc>
        <w:tc>
          <w:tcPr>
            <w:tcW w:type="dxa" w:w="1872"/>
            <w:shd w:fill="F5F3FF"/>
          </w:tcPr>
          <w:p>
            <w:pPr>
              <w:spacing w:after="40"/>
            </w:pPr>
            <w:r>
              <w:rPr>
                <w:sz w:val="18"/>
              </w:rPr>
              <w:t>c. 1540–1545 CE</w:t>
            </w:r>
          </w:p>
        </w:tc>
        <w:tc>
          <w:tcPr>
            <w:tcW w:type="dxa" w:w="2592"/>
            <w:shd w:fill="F5F3FF"/>
          </w:tcPr>
          <w:p>
            <w:pPr>
              <w:spacing w:after="40"/>
            </w:pPr>
            <w:r>
              <w:rPr>
                <w:sz w:val="18"/>
              </w:rPr>
              <w:t>Sur Empire</w:t>
            </w:r>
          </w:p>
        </w:tc>
        <w:tc>
          <w:tcPr>
            <w:tcW w:type="dxa" w:w="3168"/>
            <w:shd w:fill="F5F3FF"/>
          </w:tcPr>
          <w:p>
            <w:pPr>
              <w:spacing w:after="40"/>
            </w:pPr>
            <w:r>
              <w:rPr>
                <w:sz w:val="18"/>
              </w:rPr>
              <w:t>Captured Chanderi from Mughals; reorganized Central Indian administration.</w:t>
            </w:r>
          </w:p>
        </w:tc>
        <w:tc>
          <w:tcPr>
            <w:tcW w:type="dxa" w:w="2592"/>
            <w:shd w:fill="F5F3FF"/>
          </w:tcPr>
          <w:p>
            <w:pPr>
              <w:spacing w:after="40"/>
            </w:pPr>
            <w:r>
              <w:rPr>
                <w:sz w:val="18"/>
              </w:rPr>
              <w:t>Administrative reorganization of Chanderi's sarkar; fort developments.</w:t>
            </w:r>
          </w:p>
        </w:tc>
        <w:tc>
          <w:tcPr>
            <w:tcW w:type="dxa" w:w="1728"/>
            <w:shd w:fill="F5F3FF"/>
          </w:tcPr>
          <w:p>
            <w:pPr>
              <w:spacing w:after="40"/>
            </w:pPr>
            <w:r>
              <w:rPr>
                <w:sz w:val="18"/>
              </w:rPr>
              <w:t>CHA-S009</w:t>
            </w:r>
          </w:p>
        </w:tc>
        <w:tc>
          <w:tcPr>
            <w:tcW w:type="dxa" w:w="1296"/>
            <w:shd w:fill="F5F3FF"/>
          </w:tcPr>
          <w:p>
            <w:pPr>
              <w:spacing w:after="40"/>
            </w:pPr>
            <w:r>
              <w:rPr>
                <w:sz w:val="18"/>
              </w:rPr>
              <w:t>HIGH</w:t>
            </w:r>
          </w:p>
        </w:tc>
      </w:tr>
      <w:tr>
        <w:tc>
          <w:tcPr>
            <w:tcW w:type="dxa" w:w="2160"/>
            <w:shd w:fill="FFFFFF"/>
          </w:tcPr>
          <w:p>
            <w:pPr>
              <w:spacing w:after="40"/>
            </w:pPr>
            <w:r>
              <w:rPr>
                <w:sz w:val="18"/>
              </w:rPr>
              <w:t>Akbar</w:t>
            </w:r>
          </w:p>
        </w:tc>
        <w:tc>
          <w:tcPr>
            <w:tcW w:type="dxa" w:w="1872"/>
            <w:shd w:fill="FFFFFF"/>
          </w:tcPr>
          <w:p>
            <w:pPr>
              <w:spacing w:after="40"/>
            </w:pPr>
            <w:r>
              <w:rPr>
                <w:sz w:val="18"/>
              </w:rPr>
              <w:t>c. 1556–1605 CE</w:t>
            </w:r>
          </w:p>
        </w:tc>
        <w:tc>
          <w:tcPr>
            <w:tcW w:type="dxa" w:w="2592"/>
            <w:shd w:fill="FFFFFF"/>
          </w:tcPr>
          <w:p>
            <w:pPr>
              <w:spacing w:after="40"/>
            </w:pPr>
            <w:r>
              <w:rPr>
                <w:sz w:val="18"/>
              </w:rPr>
              <w:t>Mughal Empire</w:t>
            </w:r>
          </w:p>
        </w:tc>
        <w:tc>
          <w:tcPr>
            <w:tcW w:type="dxa" w:w="3168"/>
            <w:shd w:fill="FFFFFF"/>
          </w:tcPr>
          <w:p>
            <w:pPr>
              <w:spacing w:after="40"/>
            </w:pPr>
            <w:r>
              <w:rPr>
                <w:sz w:val="18"/>
              </w:rPr>
              <w:t>Chanderi was part of Malwa Suba under Akbar's administration.</w:t>
            </w:r>
          </w:p>
        </w:tc>
        <w:tc>
          <w:tcPr>
            <w:tcW w:type="dxa" w:w="2592"/>
            <w:shd w:fill="FFFFFF"/>
          </w:tcPr>
          <w:p>
            <w:pPr>
              <w:spacing w:after="40"/>
            </w:pPr>
            <w:r>
              <w:rPr>
                <w:sz w:val="18"/>
              </w:rPr>
              <w:t>Chanderi listed as significant sarkar in Tabaqat-i-Akbari.</w:t>
            </w:r>
          </w:p>
        </w:tc>
        <w:tc>
          <w:tcPr>
            <w:tcW w:type="dxa" w:w="1728"/>
            <w:shd w:fill="FFFFFF"/>
          </w:tcPr>
          <w:p>
            <w:pPr>
              <w:spacing w:after="40"/>
            </w:pPr>
            <w:r>
              <w:rPr>
                <w:sz w:val="18"/>
              </w:rPr>
              <w:t>Tabaqat-i-Akbari [CHA-S009]</w:t>
            </w:r>
          </w:p>
        </w:tc>
        <w:tc>
          <w:tcPr>
            <w:tcW w:type="dxa" w:w="1296"/>
            <w:shd w:fill="FFFFFF"/>
          </w:tcPr>
          <w:p>
            <w:pPr>
              <w:spacing w:after="40"/>
            </w:pPr>
            <w:r>
              <w:rPr>
                <w:sz w:val="18"/>
              </w:rPr>
              <w:t>HIGH</w:t>
            </w:r>
          </w:p>
        </w:tc>
      </w:tr>
      <w:tr>
        <w:tc>
          <w:tcPr>
            <w:tcW w:type="dxa" w:w="2160"/>
            <w:shd w:fill="F5F3FF"/>
          </w:tcPr>
          <w:p>
            <w:pPr>
              <w:spacing w:after="40"/>
            </w:pPr>
            <w:r>
              <w:rPr>
                <w:sz w:val="18"/>
              </w:rPr>
              <w:t>Bundela Chiefs (various)</w:t>
            </w:r>
          </w:p>
        </w:tc>
        <w:tc>
          <w:tcPr>
            <w:tcW w:type="dxa" w:w="1872"/>
            <w:shd w:fill="F5F3FF"/>
          </w:tcPr>
          <w:p>
            <w:pPr>
              <w:spacing w:after="40"/>
            </w:pPr>
            <w:r>
              <w:rPr>
                <w:sz w:val="18"/>
              </w:rPr>
              <w:t>17th–18th CE</w:t>
            </w:r>
          </w:p>
        </w:tc>
        <w:tc>
          <w:tcPr>
            <w:tcW w:type="dxa" w:w="2592"/>
            <w:shd w:fill="F5F3FF"/>
          </w:tcPr>
          <w:p>
            <w:pPr>
              <w:spacing w:after="40"/>
            </w:pPr>
            <w:r>
              <w:rPr>
                <w:sz w:val="18"/>
              </w:rPr>
              <w:t>Bundela Rajput dynasty</w:t>
            </w:r>
          </w:p>
        </w:tc>
        <w:tc>
          <w:tcPr>
            <w:tcW w:type="dxa" w:w="3168"/>
            <w:shd w:fill="F5F3FF"/>
          </w:tcPr>
          <w:p>
            <w:pPr>
              <w:spacing w:after="40"/>
            </w:pPr>
            <w:r>
              <w:rPr>
                <w:sz w:val="18"/>
              </w:rPr>
              <w:t>Controlled Chanderi as part of Bundelkhand dominions.</w:t>
            </w:r>
          </w:p>
        </w:tc>
        <w:tc>
          <w:tcPr>
            <w:tcW w:type="dxa" w:w="2592"/>
            <w:shd w:fill="F5F3FF"/>
          </w:tcPr>
          <w:p>
            <w:pPr>
              <w:spacing w:after="40"/>
            </w:pPr>
            <w:r>
              <w:rPr>
                <w:sz w:val="18"/>
              </w:rPr>
              <w:t>Architectural additions; continued textile patronage.</w:t>
            </w:r>
          </w:p>
        </w:tc>
        <w:tc>
          <w:tcPr>
            <w:tcW w:type="dxa" w:w="1728"/>
            <w:shd w:fill="F5F3FF"/>
          </w:tcPr>
          <w:p>
            <w:pPr>
              <w:spacing w:after="40"/>
            </w:pPr>
            <w:r>
              <w:rPr>
                <w:sz w:val="18"/>
              </w:rPr>
              <w:t>CHA-S007</w:t>
            </w:r>
          </w:p>
        </w:tc>
        <w:tc>
          <w:tcPr>
            <w:tcW w:type="dxa" w:w="1296"/>
            <w:shd w:fill="F5F3FF"/>
          </w:tcPr>
          <w:p>
            <w:pPr>
              <w:spacing w:after="40"/>
            </w:pPr>
            <w:r>
              <w:rPr>
                <w:sz w:val="18"/>
              </w:rPr>
              <w:t>MEDIUM</w:t>
            </w:r>
          </w:p>
        </w:tc>
      </w:tr>
    </w:tbl>
    <w:p>
      <w:pPr>
        <w:spacing w:after="120"/>
      </w:pPr>
    </w:p>
    <w:p>
      <w:pPr>
        <w:spacing w:before="200" w:after="80"/>
      </w:pPr>
      <w:r>
        <w:rPr>
          <w:rFonts w:ascii="Arial" w:hAnsi="Arial"/>
          <w:b/>
          <w:color w:val="78350F"/>
          <w:sz w:val="26"/>
        </w:rPr>
        <w:t>2. Note on Medini Rai</w:t>
      </w:r>
    </w:p>
    <w:p>
      <w:pPr>
        <w:spacing w:after="120" w:line="276" w:lineRule="auto"/>
      </w:pPr>
      <w:r>
        <w:rPr>
          <w:i w:val="0"/>
        </w:rPr>
        <w:t>Medini Rai is the most extensively documented Chanderi ruler in primary sources, primarily through Babur's own account in the Baburnama. He is described as a powerful Rajput chieftain who had served the Malwa Sultanate and later wielded independent authority. His decision to defend Chanderi rather than accept Babur's offered alternative resulted in the Battle of Chanderi. Medini Rai occupies a significant place in Rajput cultural memory, though the specific details of his biography require careful separation of historical record from later hagiographic tradition [Source: CHA-S003, CHA-S007].</w:t>
      </w: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[MEDINI RAI: HISTORICAL vs TRADITIONAL ACCOUNTS]</w:t>
              <w:br/>
            </w:r>
            <w:r>
              <w:rPr>
                <w:sz w:val="19"/>
              </w:rPr>
              <w:t>Rajput oral and literary traditions have elaborated significantly on Medini Rai's story, including traditions about the jauhar (self-immolation) of Rajput women at Chanderi. These traditions are culturally significant and should be presented with their appropriate status as TRADITION / LATER NARRATIVE, distinct from Babur's contemporary account.</w:t>
            </w:r>
          </w:p>
        </w:tc>
      </w:tr>
    </w:tbl>
    <w:p>
      <w:pPr>
        <w:spacing w:after="8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