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8350F"/>
          <w:sz w:val="18"/>
        </w:rPr>
        <w:t>CHANDERI MADHYA PRADESH — CULTURAL HERITAGE &amp; KNOWLEDGE BASE</w:t>
      </w:r>
    </w:p>
    <w:p>
      <w:pPr>
        <w:spacing w:after="280"/>
      </w:pPr>
      <w:r>
        <w:rPr>
          <w:rFonts w:ascii="Arial" w:hAnsi="Arial"/>
          <w:b/>
          <w:color w:val="6D28D9"/>
          <w:sz w:val="42"/>
        </w:rPr>
        <w:t>08. Chanderi Fort — Comprehensive Study</w:t>
      </w:r>
    </w:p>
    <w:p>
      <w:pPr>
        <w:spacing w:before="280" w:after="120"/>
      </w:pPr>
      <w:r>
        <w:rPr>
          <w:rFonts w:ascii="Arial" w:hAnsi="Arial"/>
          <w:b/>
          <w:color w:val="6D28D9"/>
          <w:sz w:val="30"/>
        </w:rPr>
        <w:t>1. Fort Identity &amp; Overview</w:t>
      </w:r>
    </w:p>
    <w:p>
      <w:pPr>
        <w:spacing w:after="120" w:line="276" w:lineRule="auto"/>
      </w:pPr>
      <w:r>
        <w:rPr>
          <w:i w:val="0"/>
        </w:rPr>
        <w:t>Chanderi Fort — also known as Kirti Durg or Kirtidurg — occupies a commanding rocky hilltop position approximately 71 metres above the town of Chanderi. It is the dominant landmark of the historic town and served as the primary military stronghold controlling the Malwa-Bundelkhand trade corridor. The fort is a protected monument under the Archaeological Survey of India [Source: CHA-S001, CHA-S004].</w:t>
      </w:r>
    </w:p>
    <w:p>
      <w:pPr>
        <w:pStyle w:val="ListBullet"/>
        <w:spacing w:after="80" w:line="276" w:lineRule="auto"/>
      </w:pPr>
      <w:r>
        <w:rPr>
          <w:b/>
          <w:color w:val="78350F"/>
        </w:rPr>
        <w:t xml:space="preserve">Location &amp; Topography: </w:t>
      </w:r>
      <w:r>
        <w:t>The fort sits on a quartzite hill forming the western boundary of the historic town. Its walls follow the natural contour of the rocky escarpment.</w:t>
      </w:r>
    </w:p>
    <w:p>
      <w:pPr>
        <w:pStyle w:val="ListBullet"/>
        <w:spacing w:after="80" w:line="276" w:lineRule="auto"/>
      </w:pPr>
      <w:r>
        <w:rPr>
          <w:b/>
          <w:color w:val="78350F"/>
        </w:rPr>
        <w:t xml:space="preserve">Construction History: </w:t>
      </w:r>
      <w:r>
        <w:t>The visible fort structures span multiple historical phases from the Malwa Sultanate through the Mughal and Bundela periods. Earlier phases may exist but are less archaeologically documented.</w:t>
      </w:r>
    </w:p>
    <w:p>
      <w:pPr>
        <w:pStyle w:val="ListBullet"/>
        <w:spacing w:after="80" w:line="276" w:lineRule="auto"/>
      </w:pPr>
      <w:r>
        <w:rPr>
          <w:b/>
          <w:color w:val="78350F"/>
        </w:rPr>
        <w:t xml:space="preserve">Strategic Geography: </w:t>
      </w:r>
      <w:r>
        <w:t>The fort's strategic position gave it panoramic views over the surrounding plateau, enabling advance warning of approaching forces and control of roads from multiple directions.</w:t>
      </w:r>
    </w:p>
    <w:p>
      <w:pPr>
        <w:spacing w:before="200" w:after="80"/>
      </w:pPr>
      <w:r>
        <w:rPr>
          <w:rFonts w:ascii="Arial" w:hAnsi="Arial"/>
          <w:b/>
          <w:color w:val="78350F"/>
          <w:sz w:val="26"/>
        </w:rPr>
        <w:t>2. Architectural Features Inventory</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592"/>
            <w:shd w:fill="6D28D9"/>
          </w:tcPr>
          <w:p>
            <w:pPr>
              <w:spacing w:after="40"/>
              <w:jc w:val="left"/>
            </w:pPr>
            <w:r>
              <w:rPr>
                <w:rFonts w:ascii="Arial" w:hAnsi="Arial"/>
                <w:b/>
                <w:color w:val="FFFFFF"/>
                <w:sz w:val="19"/>
              </w:rPr>
              <w:t>Feature</w:t>
            </w:r>
          </w:p>
        </w:tc>
        <w:tc>
          <w:tcPr>
            <w:tcW w:type="dxa" w:w="2160"/>
            <w:shd w:fill="6D28D9"/>
          </w:tcPr>
          <w:p>
            <w:pPr>
              <w:spacing w:after="40"/>
              <w:jc w:val="left"/>
            </w:pPr>
            <w:r>
              <w:rPr>
                <w:rFonts w:ascii="Arial" w:hAnsi="Arial"/>
                <w:b/>
                <w:color w:val="FFFFFF"/>
                <w:sz w:val="19"/>
              </w:rPr>
              <w:t>Type</w:t>
            </w:r>
          </w:p>
        </w:tc>
        <w:tc>
          <w:tcPr>
            <w:tcW w:type="dxa" w:w="2160"/>
            <w:shd w:fill="6D28D9"/>
          </w:tcPr>
          <w:p>
            <w:pPr>
              <w:spacing w:after="40"/>
              <w:jc w:val="left"/>
            </w:pPr>
            <w:r>
              <w:rPr>
                <w:rFonts w:ascii="Arial" w:hAnsi="Arial"/>
                <w:b/>
                <w:color w:val="FFFFFF"/>
                <w:sz w:val="19"/>
              </w:rPr>
              <w:t>Period</w:t>
            </w:r>
          </w:p>
        </w:tc>
        <w:tc>
          <w:tcPr>
            <w:tcW w:type="dxa" w:w="3600"/>
            <w:shd w:fill="6D28D9"/>
          </w:tcPr>
          <w:p>
            <w:pPr>
              <w:spacing w:after="40"/>
              <w:jc w:val="left"/>
            </w:pPr>
            <w:r>
              <w:rPr>
                <w:rFonts w:ascii="Arial" w:hAnsi="Arial"/>
                <w:b/>
                <w:color w:val="FFFFFF"/>
                <w:sz w:val="19"/>
              </w:rPr>
              <w:t>Description</w:t>
            </w:r>
          </w:p>
        </w:tc>
        <w:tc>
          <w:tcPr>
            <w:tcW w:type="dxa" w:w="1872"/>
            <w:shd w:fill="6D28D9"/>
          </w:tcPr>
          <w:p>
            <w:pPr>
              <w:spacing w:after="40"/>
              <w:jc w:val="left"/>
            </w:pPr>
            <w:r>
              <w:rPr>
                <w:rFonts w:ascii="Arial" w:hAnsi="Arial"/>
                <w:b/>
                <w:color w:val="FFFFFF"/>
                <w:sz w:val="19"/>
              </w:rPr>
              <w:t>Condition</w:t>
            </w:r>
          </w:p>
        </w:tc>
        <w:tc>
          <w:tcPr>
            <w:tcW w:type="dxa" w:w="1152"/>
            <w:shd w:fill="6D28D9"/>
          </w:tcPr>
          <w:p>
            <w:pPr>
              <w:spacing w:after="40"/>
              <w:jc w:val="left"/>
            </w:pPr>
            <w:r>
              <w:rPr>
                <w:rFonts w:ascii="Arial" w:hAnsi="Arial"/>
                <w:b/>
                <w:color w:val="FFFFFF"/>
                <w:sz w:val="19"/>
              </w:rPr>
              <w:t>Source</w:t>
            </w:r>
          </w:p>
        </w:tc>
      </w:tr>
      <w:tr>
        <w:tc>
          <w:tcPr>
            <w:tcW w:type="dxa" w:w="2592"/>
            <w:shd w:fill="FFFFFF"/>
          </w:tcPr>
          <w:p>
            <w:pPr>
              <w:spacing w:after="40"/>
            </w:pPr>
            <w:r>
              <w:rPr>
                <w:sz w:val="18"/>
              </w:rPr>
              <w:t>Outer Perimeter Walls</w:t>
            </w:r>
          </w:p>
        </w:tc>
        <w:tc>
          <w:tcPr>
            <w:tcW w:type="dxa" w:w="2160"/>
            <w:shd w:fill="FFFFFF"/>
          </w:tcPr>
          <w:p>
            <w:pPr>
              <w:spacing w:after="40"/>
            </w:pPr>
            <w:r>
              <w:rPr>
                <w:sz w:val="18"/>
              </w:rPr>
              <w:t>Defensive rampart</w:t>
            </w:r>
          </w:p>
        </w:tc>
        <w:tc>
          <w:tcPr>
            <w:tcW w:type="dxa" w:w="2160"/>
            <w:shd w:fill="FFFFFF"/>
          </w:tcPr>
          <w:p>
            <w:pPr>
              <w:spacing w:after="40"/>
            </w:pPr>
            <w:r>
              <w:rPr>
                <w:sz w:val="18"/>
              </w:rPr>
              <w:t>Malwa Sultanate – Mughal</w:t>
            </w:r>
          </w:p>
        </w:tc>
        <w:tc>
          <w:tcPr>
            <w:tcW w:type="dxa" w:w="3600"/>
            <w:shd w:fill="FFFFFF"/>
          </w:tcPr>
          <w:p>
            <w:pPr>
              <w:spacing w:after="40"/>
            </w:pPr>
            <w:r>
              <w:rPr>
                <w:sz w:val="18"/>
              </w:rPr>
              <w:t>Rubble-and-dressed-stone walls following the rocky escarpment; varying thickness.</w:t>
            </w:r>
          </w:p>
        </w:tc>
        <w:tc>
          <w:tcPr>
            <w:tcW w:type="dxa" w:w="1872"/>
            <w:shd w:fill="FFFFFF"/>
          </w:tcPr>
          <w:p>
            <w:pPr>
              <w:spacing w:after="40"/>
            </w:pPr>
            <w:r>
              <w:rPr>
                <w:sz w:val="18"/>
              </w:rPr>
              <w:t>Partially ruined; some sections intact.</w:t>
            </w:r>
          </w:p>
        </w:tc>
        <w:tc>
          <w:tcPr>
            <w:tcW w:type="dxa" w:w="1152"/>
            <w:shd w:fill="FFFFFF"/>
          </w:tcPr>
          <w:p>
            <w:pPr>
              <w:spacing w:after="40"/>
            </w:pPr>
            <w:r>
              <w:rPr>
                <w:sz w:val="18"/>
              </w:rPr>
              <w:t>CHA-S001</w:t>
            </w:r>
          </w:p>
        </w:tc>
      </w:tr>
      <w:tr>
        <w:tc>
          <w:tcPr>
            <w:tcW w:type="dxa" w:w="2592"/>
            <w:shd w:fill="F5F3FF"/>
          </w:tcPr>
          <w:p>
            <w:pPr>
              <w:spacing w:after="40"/>
            </w:pPr>
            <w:r>
              <w:rPr>
                <w:sz w:val="18"/>
              </w:rPr>
              <w:t>Khooni Darwaza (Bloody Gate)</w:t>
            </w:r>
          </w:p>
        </w:tc>
        <w:tc>
          <w:tcPr>
            <w:tcW w:type="dxa" w:w="2160"/>
            <w:shd w:fill="F5F3FF"/>
          </w:tcPr>
          <w:p>
            <w:pPr>
              <w:spacing w:after="40"/>
            </w:pPr>
            <w:r>
              <w:rPr>
                <w:sz w:val="18"/>
              </w:rPr>
              <w:t>Fort entrance gate</w:t>
            </w:r>
          </w:p>
        </w:tc>
        <w:tc>
          <w:tcPr>
            <w:tcW w:type="dxa" w:w="2160"/>
            <w:shd w:fill="F5F3FF"/>
          </w:tcPr>
          <w:p>
            <w:pPr>
              <w:spacing w:after="40"/>
            </w:pPr>
            <w:r>
              <w:rPr>
                <w:sz w:val="18"/>
              </w:rPr>
              <w:t>Medieval (period debated)</w:t>
            </w:r>
          </w:p>
        </w:tc>
        <w:tc>
          <w:tcPr>
            <w:tcW w:type="dxa" w:w="3600"/>
            <w:shd w:fill="F5F3FF"/>
          </w:tcPr>
          <w:p>
            <w:pPr>
              <w:spacing w:after="40"/>
            </w:pPr>
            <w:r>
              <w:rPr>
                <w:sz w:val="18"/>
              </w:rPr>
              <w:t>Main entry gate to the fort area; name derives from local tradition related to Battle of Chanderi.</w:t>
            </w:r>
          </w:p>
        </w:tc>
        <w:tc>
          <w:tcPr>
            <w:tcW w:type="dxa" w:w="1872"/>
            <w:shd w:fill="F5F3FF"/>
          </w:tcPr>
          <w:p>
            <w:pPr>
              <w:spacing w:after="40"/>
            </w:pPr>
            <w:r>
              <w:rPr>
                <w:sz w:val="18"/>
              </w:rPr>
              <w:t>Standing; requires conservation.</w:t>
            </w:r>
          </w:p>
        </w:tc>
        <w:tc>
          <w:tcPr>
            <w:tcW w:type="dxa" w:w="1152"/>
            <w:shd w:fill="F5F3FF"/>
          </w:tcPr>
          <w:p>
            <w:pPr>
              <w:spacing w:after="40"/>
            </w:pPr>
            <w:r>
              <w:rPr>
                <w:sz w:val="18"/>
              </w:rPr>
              <w:t>CHA-S001, CHA-S004</w:t>
            </w:r>
          </w:p>
        </w:tc>
      </w:tr>
      <w:tr>
        <w:tc>
          <w:tcPr>
            <w:tcW w:type="dxa" w:w="2592"/>
            <w:shd w:fill="FFFFFF"/>
          </w:tcPr>
          <w:p>
            <w:pPr>
              <w:spacing w:after="40"/>
            </w:pPr>
            <w:r>
              <w:rPr>
                <w:sz w:val="18"/>
              </w:rPr>
              <w:t>Hawa Mahal (within fort)</w:t>
            </w:r>
          </w:p>
        </w:tc>
        <w:tc>
          <w:tcPr>
            <w:tcW w:type="dxa" w:w="2160"/>
            <w:shd w:fill="FFFFFF"/>
          </w:tcPr>
          <w:p>
            <w:pPr>
              <w:spacing w:after="40"/>
            </w:pPr>
            <w:r>
              <w:rPr>
                <w:sz w:val="18"/>
              </w:rPr>
              <w:t>Palace / Pavilion structure</w:t>
            </w:r>
          </w:p>
        </w:tc>
        <w:tc>
          <w:tcPr>
            <w:tcW w:type="dxa" w:w="2160"/>
            <w:shd w:fill="FFFFFF"/>
          </w:tcPr>
          <w:p>
            <w:pPr>
              <w:spacing w:after="40"/>
            </w:pPr>
            <w:r>
              <w:rPr>
                <w:sz w:val="18"/>
              </w:rPr>
              <w:t>Bundela / late Mughal</w:t>
            </w:r>
          </w:p>
        </w:tc>
        <w:tc>
          <w:tcPr>
            <w:tcW w:type="dxa" w:w="3600"/>
            <w:shd w:fill="FFFFFF"/>
          </w:tcPr>
          <w:p>
            <w:pPr>
              <w:spacing w:after="40"/>
            </w:pPr>
            <w:r>
              <w:rPr>
                <w:sz w:val="18"/>
              </w:rPr>
              <w:t>Open-sided pavilion structure within the fort complex; Bundela-period features.</w:t>
            </w:r>
          </w:p>
        </w:tc>
        <w:tc>
          <w:tcPr>
            <w:tcW w:type="dxa" w:w="1872"/>
            <w:shd w:fill="FFFFFF"/>
          </w:tcPr>
          <w:p>
            <w:pPr>
              <w:spacing w:after="40"/>
            </w:pPr>
            <w:r>
              <w:rPr>
                <w:sz w:val="18"/>
              </w:rPr>
              <w:t>Partially standing.</w:t>
            </w:r>
          </w:p>
        </w:tc>
        <w:tc>
          <w:tcPr>
            <w:tcW w:type="dxa" w:w="1152"/>
            <w:shd w:fill="FFFFFF"/>
          </w:tcPr>
          <w:p>
            <w:pPr>
              <w:spacing w:after="40"/>
            </w:pPr>
            <w:r>
              <w:rPr>
                <w:sz w:val="18"/>
              </w:rPr>
              <w:t>CHA-S001</w:t>
            </w:r>
          </w:p>
        </w:tc>
      </w:tr>
      <w:tr>
        <w:tc>
          <w:tcPr>
            <w:tcW w:type="dxa" w:w="2592"/>
            <w:shd w:fill="F5F3FF"/>
          </w:tcPr>
          <w:p>
            <w:pPr>
              <w:spacing w:after="40"/>
            </w:pPr>
            <w:r>
              <w:rPr>
                <w:sz w:val="18"/>
              </w:rPr>
              <w:t>Bastions &amp; Towers</w:t>
            </w:r>
          </w:p>
        </w:tc>
        <w:tc>
          <w:tcPr>
            <w:tcW w:type="dxa" w:w="2160"/>
            <w:shd w:fill="F5F3FF"/>
          </w:tcPr>
          <w:p>
            <w:pPr>
              <w:spacing w:after="40"/>
            </w:pPr>
            <w:r>
              <w:rPr>
                <w:sz w:val="18"/>
              </w:rPr>
              <w:t>Defensive towers</w:t>
            </w:r>
          </w:p>
        </w:tc>
        <w:tc>
          <w:tcPr>
            <w:tcW w:type="dxa" w:w="2160"/>
            <w:shd w:fill="F5F3FF"/>
          </w:tcPr>
          <w:p>
            <w:pPr>
              <w:spacing w:after="40"/>
            </w:pPr>
            <w:r>
              <w:rPr>
                <w:sz w:val="18"/>
              </w:rPr>
              <w:t>Multiple phases</w:t>
            </w:r>
          </w:p>
        </w:tc>
        <w:tc>
          <w:tcPr>
            <w:tcW w:type="dxa" w:w="3600"/>
            <w:shd w:fill="F5F3FF"/>
          </w:tcPr>
          <w:p>
            <w:pPr>
              <w:spacing w:after="40"/>
            </w:pPr>
            <w:r>
              <w:rPr>
                <w:sz w:val="18"/>
              </w:rPr>
              <w:t>Projecting bastions at intervals along the fort wall for flanking fire.</w:t>
            </w:r>
          </w:p>
        </w:tc>
        <w:tc>
          <w:tcPr>
            <w:tcW w:type="dxa" w:w="1872"/>
            <w:shd w:fill="F5F3FF"/>
          </w:tcPr>
          <w:p>
            <w:pPr>
              <w:spacing w:after="40"/>
            </w:pPr>
            <w:r>
              <w:rPr>
                <w:sz w:val="18"/>
              </w:rPr>
              <w:t>Variable — some intact, some collapsed.</w:t>
            </w:r>
          </w:p>
        </w:tc>
        <w:tc>
          <w:tcPr>
            <w:tcW w:type="dxa" w:w="1152"/>
            <w:shd w:fill="F5F3FF"/>
          </w:tcPr>
          <w:p>
            <w:pPr>
              <w:spacing w:after="40"/>
            </w:pPr>
            <w:r>
              <w:rPr>
                <w:sz w:val="18"/>
              </w:rPr>
              <w:t>CHA-S001</w:t>
            </w:r>
          </w:p>
        </w:tc>
      </w:tr>
      <w:tr>
        <w:tc>
          <w:tcPr>
            <w:tcW w:type="dxa" w:w="2592"/>
            <w:shd w:fill="FFFFFF"/>
          </w:tcPr>
          <w:p>
            <w:pPr>
              <w:spacing w:after="40"/>
            </w:pPr>
            <w:r>
              <w:rPr>
                <w:sz w:val="18"/>
              </w:rPr>
              <w:t>Cisterns &amp; Water Storage</w:t>
            </w:r>
          </w:p>
        </w:tc>
        <w:tc>
          <w:tcPr>
            <w:tcW w:type="dxa" w:w="2160"/>
            <w:shd w:fill="FFFFFF"/>
          </w:tcPr>
          <w:p>
            <w:pPr>
              <w:spacing w:after="40"/>
            </w:pPr>
            <w:r>
              <w:rPr>
                <w:sz w:val="18"/>
              </w:rPr>
              <w:t>Water engineering</w:t>
            </w:r>
          </w:p>
        </w:tc>
        <w:tc>
          <w:tcPr>
            <w:tcW w:type="dxa" w:w="2160"/>
            <w:shd w:fill="FFFFFF"/>
          </w:tcPr>
          <w:p>
            <w:pPr>
              <w:spacing w:after="40"/>
            </w:pPr>
            <w:r>
              <w:rPr>
                <w:sz w:val="18"/>
              </w:rPr>
              <w:t>Multiple phases</w:t>
            </w:r>
          </w:p>
        </w:tc>
        <w:tc>
          <w:tcPr>
            <w:tcW w:type="dxa" w:w="3600"/>
            <w:shd w:fill="FFFFFF"/>
          </w:tcPr>
          <w:p>
            <w:pPr>
              <w:spacing w:after="40"/>
            </w:pPr>
            <w:r>
              <w:rPr>
                <w:sz w:val="18"/>
              </w:rPr>
              <w:t>Rock-cut cisterns and storage tanks within the fort to supply the garrison.</w:t>
            </w:r>
          </w:p>
        </w:tc>
        <w:tc>
          <w:tcPr>
            <w:tcW w:type="dxa" w:w="1872"/>
            <w:shd w:fill="FFFFFF"/>
          </w:tcPr>
          <w:p>
            <w:pPr>
              <w:spacing w:after="40"/>
            </w:pPr>
            <w:r>
              <w:rPr>
                <w:sz w:val="18"/>
              </w:rPr>
              <w:t>Some visible; silted.</w:t>
            </w:r>
          </w:p>
        </w:tc>
        <w:tc>
          <w:tcPr>
            <w:tcW w:type="dxa" w:w="1152"/>
            <w:shd w:fill="FFFFFF"/>
          </w:tcPr>
          <w:p>
            <w:pPr>
              <w:spacing w:after="40"/>
            </w:pPr>
            <w:r>
              <w:rPr>
                <w:sz w:val="18"/>
              </w:rPr>
              <w:t>CHA-S001</w:t>
            </w:r>
          </w:p>
        </w:tc>
      </w:tr>
      <w:tr>
        <w:tc>
          <w:tcPr>
            <w:tcW w:type="dxa" w:w="2592"/>
            <w:shd w:fill="F5F3FF"/>
          </w:tcPr>
          <w:p>
            <w:pPr>
              <w:spacing w:after="40"/>
            </w:pPr>
            <w:r>
              <w:rPr>
                <w:sz w:val="18"/>
              </w:rPr>
              <w:t>Moat / Rock-cut Ditch</w:t>
            </w:r>
          </w:p>
        </w:tc>
        <w:tc>
          <w:tcPr>
            <w:tcW w:type="dxa" w:w="2160"/>
            <w:shd w:fill="F5F3FF"/>
          </w:tcPr>
          <w:p>
            <w:pPr>
              <w:spacing w:after="40"/>
            </w:pPr>
            <w:r>
              <w:rPr>
                <w:sz w:val="18"/>
              </w:rPr>
              <w:t>Defensive feature</w:t>
            </w:r>
          </w:p>
        </w:tc>
        <w:tc>
          <w:tcPr>
            <w:tcW w:type="dxa" w:w="2160"/>
            <w:shd w:fill="F5F3FF"/>
          </w:tcPr>
          <w:p>
            <w:pPr>
              <w:spacing w:after="40"/>
            </w:pPr>
            <w:r>
              <w:rPr>
                <w:sz w:val="18"/>
              </w:rPr>
              <w:t>Medieval</w:t>
            </w:r>
          </w:p>
        </w:tc>
        <w:tc>
          <w:tcPr>
            <w:tcW w:type="dxa" w:w="3600"/>
            <w:shd w:fill="F5F3FF"/>
          </w:tcPr>
          <w:p>
            <w:pPr>
              <w:spacing w:after="40"/>
            </w:pPr>
            <w:r>
              <w:rPr>
                <w:sz w:val="18"/>
              </w:rPr>
              <w:t>Rock-cut separation trench on the approach side of the hill to prevent easy wall assault.</w:t>
            </w:r>
          </w:p>
        </w:tc>
        <w:tc>
          <w:tcPr>
            <w:tcW w:type="dxa" w:w="1872"/>
            <w:shd w:fill="F5F3FF"/>
          </w:tcPr>
          <w:p>
            <w:pPr>
              <w:spacing w:after="40"/>
            </w:pPr>
            <w:r>
              <w:rPr>
                <w:sz w:val="18"/>
              </w:rPr>
              <w:t>Partially visible.</w:t>
            </w:r>
          </w:p>
        </w:tc>
        <w:tc>
          <w:tcPr>
            <w:tcW w:type="dxa" w:w="1152"/>
            <w:shd w:fill="F5F3FF"/>
          </w:tcPr>
          <w:p>
            <w:pPr>
              <w:spacing w:after="40"/>
            </w:pPr>
            <w:r>
              <w:rPr>
                <w:sz w:val="18"/>
              </w:rPr>
              <w:t>CHA-S001</w:t>
            </w:r>
          </w:p>
        </w:tc>
      </w:tr>
      <w:tr>
        <w:tc>
          <w:tcPr>
            <w:tcW w:type="dxa" w:w="2592"/>
            <w:shd w:fill="FFFFFF"/>
          </w:tcPr>
          <w:p>
            <w:pPr>
              <w:spacing w:after="40"/>
            </w:pPr>
            <w:r>
              <w:rPr>
                <w:sz w:val="18"/>
              </w:rPr>
              <w:t>Jama Masjid (near fort base)</w:t>
            </w:r>
          </w:p>
        </w:tc>
        <w:tc>
          <w:tcPr>
            <w:tcW w:type="dxa" w:w="2160"/>
            <w:shd w:fill="FFFFFF"/>
          </w:tcPr>
          <w:p>
            <w:pPr>
              <w:spacing w:after="40"/>
            </w:pPr>
            <w:r>
              <w:rPr>
                <w:sz w:val="18"/>
              </w:rPr>
              <w:t>Mosque</w:t>
            </w:r>
          </w:p>
        </w:tc>
        <w:tc>
          <w:tcPr>
            <w:tcW w:type="dxa" w:w="2160"/>
            <w:shd w:fill="FFFFFF"/>
          </w:tcPr>
          <w:p>
            <w:pPr>
              <w:spacing w:after="40"/>
            </w:pPr>
            <w:r>
              <w:rPr>
                <w:sz w:val="18"/>
              </w:rPr>
              <w:t>Malwa Sultanate</w:t>
            </w:r>
          </w:p>
        </w:tc>
        <w:tc>
          <w:tcPr>
            <w:tcW w:type="dxa" w:w="3600"/>
            <w:shd w:fill="FFFFFF"/>
          </w:tcPr>
          <w:p>
            <w:pPr>
              <w:spacing w:after="40"/>
            </w:pPr>
            <w:r>
              <w:rPr>
                <w:sz w:val="18"/>
              </w:rPr>
              <w:t>Large congregational mosque at the base of the fort hill; detailed in Islamic Heritage section.</w:t>
            </w:r>
          </w:p>
        </w:tc>
        <w:tc>
          <w:tcPr>
            <w:tcW w:type="dxa" w:w="1872"/>
            <w:shd w:fill="FFFFFF"/>
          </w:tcPr>
          <w:p>
            <w:pPr>
              <w:spacing w:after="40"/>
            </w:pPr>
            <w:r>
              <w:rPr>
                <w:sz w:val="18"/>
              </w:rPr>
              <w:t>Standing; actively used.</w:t>
            </w:r>
          </w:p>
        </w:tc>
        <w:tc>
          <w:tcPr>
            <w:tcW w:type="dxa" w:w="1152"/>
            <w:shd w:fill="FFFFFF"/>
          </w:tcPr>
          <w:p>
            <w:pPr>
              <w:spacing w:after="40"/>
            </w:pPr>
            <w:r>
              <w:rPr>
                <w:sz w:val="18"/>
              </w:rPr>
              <w:t>CHA-S001</w:t>
            </w:r>
          </w:p>
        </w:tc>
      </w:tr>
    </w:tbl>
    <w:p>
      <w:pPr>
        <w:spacing w:after="120"/>
      </w:pPr>
    </w:p>
    <w:p>
      <w:pPr>
        <w:spacing w:before="200" w:after="80"/>
      </w:pPr>
      <w:r>
        <w:rPr>
          <w:rFonts w:ascii="Arial" w:hAnsi="Arial"/>
          <w:b/>
          <w:color w:val="78350F"/>
          <w:sz w:val="26"/>
        </w:rPr>
        <w:t>3. Historical Phases of the Fort</w:t>
      </w:r>
    </w:p>
    <w:p>
      <w:pPr>
        <w:spacing w:after="120" w:line="276" w:lineRule="auto"/>
      </w:pPr>
      <w:r>
        <w:rPr>
          <w:b/>
          <w:color w:val="78350F"/>
        </w:rPr>
        <w:t xml:space="preserve">Phase 1: </w:t>
      </w:r>
      <w:r>
        <w:rPr>
          <w:i w:val="0"/>
        </w:rPr>
        <w:t>Phase 1 — Early fortification (pre-Sultanate): Limited evidence; possible early medieval use of the hilltop as a defensive position. No standing structures confirmed from this period.</w:t>
      </w:r>
    </w:p>
    <w:p>
      <w:pPr>
        <w:spacing w:after="120" w:line="276" w:lineRule="auto"/>
      </w:pPr>
      <w:r>
        <w:rPr>
          <w:b/>
          <w:color w:val="78350F"/>
        </w:rPr>
        <w:t xml:space="preserve">Phase 2: </w:t>
      </w:r>
      <w:r>
        <w:rPr>
          <w:i w:val="0"/>
        </w:rPr>
        <w:t>Phase 2 — Malwa Sultanate (c. 15th–early 16th century CE): Primary construction of major fort walls, gates, and internal structures. The fort's current main plan derives from this period.</w:t>
      </w:r>
    </w:p>
    <w:p>
      <w:pPr>
        <w:spacing w:after="120" w:line="276" w:lineRule="auto"/>
      </w:pPr>
      <w:r>
        <w:rPr>
          <w:b/>
          <w:color w:val="78350F"/>
        </w:rPr>
        <w:t xml:space="preserve">Phase 3: </w:t>
      </w:r>
      <w:r>
        <w:rPr>
          <w:i w:val="0"/>
        </w:rPr>
        <w:t>Phase 3 — Mughal period (c. 1528–17th century): Post-conquest modifications; Mughal-style architectural elements added to some structures.</w:t>
      </w:r>
    </w:p>
    <w:p>
      <w:pPr>
        <w:spacing w:after="120" w:line="276" w:lineRule="auto"/>
      </w:pPr>
      <w:r>
        <w:rPr>
          <w:b/>
          <w:color w:val="78350F"/>
        </w:rPr>
        <w:t xml:space="preserve">Phase 4: </w:t>
      </w:r>
      <w:r>
        <w:rPr>
          <w:i w:val="0"/>
        </w:rPr>
        <w:t>Phase 4 — Bundela period (c. 17th–18th century): Further additions and modifications; Bundela-style chhatris and decorative elements added to some sections.</w:t>
      </w:r>
    </w:p>
    <w:tbl>
      <w:tblPr>
        <w:tblW w:type="auto" w:w="0"/>
        <w:jc w:val="center"/>
        <w:tblLook w:firstColumn="1" w:firstRow="1" w:lastColumn="0" w:lastRow="0" w:noHBand="0" w:noVBand="1" w:val="04A0"/>
      </w:tblPr>
      <w:tblGrid>
        <w:gridCol w:w="9360"/>
      </w:tblGrid>
      <w:tr>
        <w:tc>
          <w:tcPr>
            <w:tcW w:type="dxa" w:w="9360"/>
            <w:shd w:fill="FDF4FF"/>
            <w:tcBorders>
              <w:top w:val="none"/>
              <w:left w:val="single" w:sz="24" w:space="0" w:color="6D28D9"/>
              <w:bottom w:val="none"/>
              <w:right w:val="none"/>
            </w:tcBorders>
          </w:tcPr>
          <w:p>
            <w:pPr>
              <w:spacing w:after="80"/>
              <w:ind w:left="144"/>
            </w:pPr>
            <w:r>
              <w:rPr>
                <w:rFonts w:ascii="Arial" w:hAnsi="Arial"/>
                <w:b/>
                <w:color w:val="6D28D9"/>
                <w:sz w:val="19"/>
              </w:rPr>
              <w:t>[FORT PHASING: CONFIDENCE NOTE]</w:t>
              <w:br/>
            </w:r>
            <w:r>
              <w:rPr>
                <w:sz w:val="19"/>
              </w:rPr>
              <w:t>The fort's structural phasing requires a detailed ASI architectural survey with inscriptional and stratigraphic analysis. The phases described above are based on stylistic dating and historical context rather than conclusive excavation data. [Source: CHA-S001, CHA-S011]</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