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11. Palaces &amp; Royal Architecture</w:t>
      </w:r>
    </w:p>
    <w:p>
      <w:pPr>
        <w:spacing w:before="280" w:after="120"/>
      </w:pPr>
      <w:r>
        <w:rPr>
          <w:rFonts w:ascii="Arial" w:hAnsi="Arial"/>
          <w:b/>
          <w:color w:val="6D28D9"/>
          <w:sz w:val="30"/>
        </w:rPr>
        <w:t>1. Koshak Mahal — The Palace of the Pavilion</w:t>
      </w:r>
    </w:p>
    <w:p>
      <w:pPr>
        <w:spacing w:after="120" w:line="276" w:lineRule="auto"/>
      </w:pPr>
      <w:r>
        <w:rPr>
          <w:i w:val="0"/>
        </w:rPr>
        <w:t>The Koshak Mahal is considered the finest surviving secular architectural monument of Chanderi and one of the best examples of Malwa Sultanate palace architecture in India. It is a protected monument under the ASI [Source: CHA-S001, CHA-S011].</w:t>
      </w:r>
    </w:p>
    <w:p>
      <w:pPr>
        <w:pStyle w:val="ListBullet"/>
        <w:spacing w:after="80" w:line="276" w:lineRule="auto"/>
      </w:pPr>
      <w:r>
        <w:rPr>
          <w:b/>
          <w:color w:val="78350F"/>
        </w:rPr>
        <w:t xml:space="preserve">Name &amp; Etymology: </w:t>
      </w:r>
      <w:r>
        <w:t>The name 'Koshak' is derived from the Persian 'kushk' meaning pavilion or pleasure palace — a term widely used in Persianate architectural culture of the Sultanate period.</w:t>
      </w:r>
    </w:p>
    <w:p>
      <w:pPr>
        <w:pStyle w:val="ListBullet"/>
        <w:spacing w:after="80" w:line="276" w:lineRule="auto"/>
      </w:pPr>
      <w:r>
        <w:rPr>
          <w:b/>
          <w:color w:val="78350F"/>
        </w:rPr>
        <w:t xml:space="preserve">Architectural Description: </w:t>
      </w:r>
      <w:r>
        <w:t>A two-storey rectangular palace structure with four projecting towers at the corners. Each storey features arched openings on all four facades, creating a screen of elegant pointed arches with alternating open and closed bays.</w:t>
      </w:r>
    </w:p>
    <w:p>
      <w:pPr>
        <w:pStyle w:val="ListBullet"/>
        <w:spacing w:after="80" w:line="276" w:lineRule="auto"/>
      </w:pPr>
      <w:r>
        <w:rPr>
          <w:b/>
          <w:color w:val="78350F"/>
        </w:rPr>
        <w:t xml:space="preserve">Materials &amp; Style: </w:t>
      </w:r>
      <w:r>
        <w:t>Constructed in dressed local sandstone with lime mortar. The arched facade treatment and proportions are characteristic of Malwa Sultanate architectural style, which blends Persian and indigenous Indian forms.</w:t>
      </w:r>
    </w:p>
    <w:p>
      <w:pPr>
        <w:pStyle w:val="ListBullet"/>
        <w:spacing w:after="80" w:line="276" w:lineRule="auto"/>
      </w:pPr>
      <w:r>
        <w:rPr>
          <w:b/>
          <w:color w:val="78350F"/>
        </w:rPr>
        <w:t xml:space="preserve">Historical Attribution: </w:t>
      </w:r>
      <w:r>
        <w:t>Attribution to Mahmud Shah Khalji I (c. 1436–1469 CE) of the Malwa Sultanate is the most commonly cited attribution in heritage documentation, but requires confirmation from inscriptional evidence. [Source: CHA-S001, CHA-S011]</w:t>
      </w:r>
    </w:p>
    <w:p>
      <w:pPr>
        <w:pStyle w:val="ListBullet"/>
        <w:spacing w:after="80" w:line="276" w:lineRule="auto"/>
      </w:pPr>
      <w:r>
        <w:rPr>
          <w:b/>
          <w:color w:val="78350F"/>
        </w:rPr>
        <w:t xml:space="preserve">Function: </w:t>
      </w:r>
      <w:r>
        <w:t>The palace likely served as a royal residence, administrative audience hall, or pleasure pavilion. Its elevated position and open arched facades suggest it was designed for comfort and visual commanding of the surrounding landscape.</w:t>
      </w:r>
    </w:p>
    <w:p>
      <w:pPr>
        <w:spacing w:before="200" w:after="80"/>
      </w:pPr>
      <w:r>
        <w:rPr>
          <w:rFonts w:ascii="Arial" w:hAnsi="Arial"/>
          <w:b/>
          <w:color w:val="78350F"/>
          <w:sz w:val="26"/>
        </w:rPr>
        <w:t>2. Architectural Analysis of Koshak Mahal</w:t>
      </w:r>
    </w:p>
    <w:tbl>
      <w:tblPr>
        <w:tblW w:type="auto" w:w="0"/>
        <w:jc w:val="center"/>
        <w:tblLook w:firstColumn="1" w:firstRow="1" w:lastColumn="0" w:lastRow="0" w:noHBand="0" w:noVBand="1" w:val="04A0"/>
      </w:tblPr>
      <w:tblGrid>
        <w:gridCol w:w="3120"/>
        <w:gridCol w:w="3120"/>
        <w:gridCol w:w="3120"/>
      </w:tblGrid>
      <w:tr>
        <w:tc>
          <w:tcPr>
            <w:tcW w:type="dxa" w:w="3168"/>
            <w:shd w:fill="6D28D9"/>
          </w:tcPr>
          <w:p>
            <w:pPr>
              <w:spacing w:after="40"/>
              <w:jc w:val="left"/>
            </w:pPr>
            <w:r>
              <w:rPr>
                <w:rFonts w:ascii="Arial" w:hAnsi="Arial"/>
                <w:b/>
                <w:color w:val="FFFFFF"/>
                <w:sz w:val="19"/>
              </w:rPr>
              <w:t>Architectural Element</w:t>
            </w:r>
          </w:p>
        </w:tc>
        <w:tc>
          <w:tcPr>
            <w:tcW w:type="dxa" w:w="4320"/>
            <w:shd w:fill="6D28D9"/>
          </w:tcPr>
          <w:p>
            <w:pPr>
              <w:spacing w:after="40"/>
              <w:jc w:val="left"/>
            </w:pPr>
            <w:r>
              <w:rPr>
                <w:rFonts w:ascii="Arial" w:hAnsi="Arial"/>
                <w:b/>
                <w:color w:val="FFFFFF"/>
                <w:sz w:val="19"/>
              </w:rPr>
              <w:t>Description</w:t>
            </w:r>
          </w:p>
        </w:tc>
        <w:tc>
          <w:tcPr>
            <w:tcW w:type="dxa" w:w="4320"/>
            <w:shd w:fill="6D28D9"/>
          </w:tcPr>
          <w:p>
            <w:pPr>
              <w:spacing w:after="40"/>
              <w:jc w:val="left"/>
            </w:pPr>
            <w:r>
              <w:rPr>
                <w:rFonts w:ascii="Arial" w:hAnsi="Arial"/>
                <w:b/>
                <w:color w:val="FFFFFF"/>
                <w:sz w:val="19"/>
              </w:rPr>
              <w:t>Style/Period Indicator</w:t>
            </w:r>
          </w:p>
        </w:tc>
      </w:tr>
      <w:tr>
        <w:tc>
          <w:tcPr>
            <w:tcW w:type="dxa" w:w="3168"/>
            <w:shd w:fill="FFFFFF"/>
          </w:tcPr>
          <w:p>
            <w:pPr>
              <w:spacing w:after="40"/>
            </w:pPr>
            <w:r>
              <w:rPr>
                <w:sz w:val="18"/>
              </w:rPr>
              <w:t>Pointed Arches</w:t>
            </w:r>
          </w:p>
        </w:tc>
        <w:tc>
          <w:tcPr>
            <w:tcW w:type="dxa" w:w="4320"/>
            <w:shd w:fill="FFFFFF"/>
          </w:tcPr>
          <w:p>
            <w:pPr>
              <w:spacing w:after="40"/>
            </w:pPr>
            <w:r>
              <w:rPr>
                <w:sz w:val="18"/>
              </w:rPr>
              <w:t>Multi-foil pointed arches in the facade screens.</w:t>
            </w:r>
          </w:p>
        </w:tc>
        <w:tc>
          <w:tcPr>
            <w:tcW w:type="dxa" w:w="4320"/>
            <w:shd w:fill="FFFFFF"/>
          </w:tcPr>
          <w:p>
            <w:pPr>
              <w:spacing w:after="40"/>
            </w:pPr>
            <w:r>
              <w:rPr>
                <w:sz w:val="18"/>
              </w:rPr>
              <w:t>Malwa Sultanate / Persianate Gothic influence.</w:t>
            </w:r>
          </w:p>
        </w:tc>
      </w:tr>
      <w:tr>
        <w:tc>
          <w:tcPr>
            <w:tcW w:type="dxa" w:w="3168"/>
            <w:shd w:fill="F5F3FF"/>
          </w:tcPr>
          <w:p>
            <w:pPr>
              <w:spacing w:after="40"/>
            </w:pPr>
            <w:r>
              <w:rPr>
                <w:sz w:val="18"/>
              </w:rPr>
              <w:t>Corner Towers</w:t>
            </w:r>
          </w:p>
        </w:tc>
        <w:tc>
          <w:tcPr>
            <w:tcW w:type="dxa" w:w="4320"/>
            <w:shd w:fill="F5F3FF"/>
          </w:tcPr>
          <w:p>
            <w:pPr>
              <w:spacing w:after="40"/>
            </w:pPr>
            <w:r>
              <w:rPr>
                <w:sz w:val="18"/>
              </w:rPr>
              <w:t>Four octagonal or square projecting towers at corners.</w:t>
            </w:r>
          </w:p>
        </w:tc>
        <w:tc>
          <w:tcPr>
            <w:tcW w:type="dxa" w:w="4320"/>
            <w:shd w:fill="F5F3FF"/>
          </w:tcPr>
          <w:p>
            <w:pPr>
              <w:spacing w:after="40"/>
            </w:pPr>
            <w:r>
              <w:rPr>
                <w:sz w:val="18"/>
              </w:rPr>
              <w:t>Characteristic of Malwa Sultanate defensive-palatial architecture.</w:t>
            </w:r>
          </w:p>
        </w:tc>
      </w:tr>
      <w:tr>
        <w:tc>
          <w:tcPr>
            <w:tcW w:type="dxa" w:w="3168"/>
            <w:shd w:fill="FFFFFF"/>
          </w:tcPr>
          <w:p>
            <w:pPr>
              <w:spacing w:after="40"/>
            </w:pPr>
            <w:r>
              <w:rPr>
                <w:sz w:val="18"/>
              </w:rPr>
              <w:t>Two-Storey Elevation</w:t>
            </w:r>
          </w:p>
        </w:tc>
        <w:tc>
          <w:tcPr>
            <w:tcW w:type="dxa" w:w="4320"/>
            <w:shd w:fill="FFFFFF"/>
          </w:tcPr>
          <w:p>
            <w:pPr>
              <w:spacing w:after="40"/>
            </w:pPr>
            <w:r>
              <w:rPr>
                <w:sz w:val="18"/>
              </w:rPr>
              <w:t>Ground floor and upper floor with matching arched bays.</w:t>
            </w:r>
          </w:p>
        </w:tc>
        <w:tc>
          <w:tcPr>
            <w:tcW w:type="dxa" w:w="4320"/>
            <w:shd w:fill="FFFFFF"/>
          </w:tcPr>
          <w:p>
            <w:pPr>
              <w:spacing w:after="40"/>
            </w:pPr>
            <w:r>
              <w:rPr>
                <w:sz w:val="18"/>
              </w:rPr>
              <w:t>Symmetrical palatial composition typical of Sultanate period.</w:t>
            </w:r>
          </w:p>
        </w:tc>
      </w:tr>
      <w:tr>
        <w:tc>
          <w:tcPr>
            <w:tcW w:type="dxa" w:w="3168"/>
            <w:shd w:fill="F5F3FF"/>
          </w:tcPr>
          <w:p>
            <w:pPr>
              <w:spacing w:after="40"/>
            </w:pPr>
            <w:r>
              <w:rPr>
                <w:sz w:val="18"/>
              </w:rPr>
              <w:t>Facade Screens</w:t>
            </w:r>
          </w:p>
        </w:tc>
        <w:tc>
          <w:tcPr>
            <w:tcW w:type="dxa" w:w="4320"/>
            <w:shd w:fill="F5F3FF"/>
          </w:tcPr>
          <w:p>
            <w:pPr>
              <w:spacing w:after="40"/>
            </w:pPr>
            <w:r>
              <w:rPr>
                <w:sz w:val="18"/>
              </w:rPr>
              <w:t>Alternating open and closed arched bays creating rhythm.</w:t>
            </w:r>
          </w:p>
        </w:tc>
        <w:tc>
          <w:tcPr>
            <w:tcW w:type="dxa" w:w="4320"/>
            <w:shd w:fill="F5F3FF"/>
          </w:tcPr>
          <w:p>
            <w:pPr>
              <w:spacing w:after="40"/>
            </w:pPr>
            <w:r>
              <w:rPr>
                <w:sz w:val="18"/>
              </w:rPr>
              <w:t>Sophisticated decorative architectural composition.</w:t>
            </w:r>
          </w:p>
        </w:tc>
      </w:tr>
      <w:tr>
        <w:tc>
          <w:tcPr>
            <w:tcW w:type="dxa" w:w="3168"/>
            <w:shd w:fill="FFFFFF"/>
          </w:tcPr>
          <w:p>
            <w:pPr>
              <w:spacing w:after="40"/>
            </w:pPr>
            <w:r>
              <w:rPr>
                <w:sz w:val="18"/>
              </w:rPr>
              <w:t>Stone Construction</w:t>
            </w:r>
          </w:p>
        </w:tc>
        <w:tc>
          <w:tcPr>
            <w:tcW w:type="dxa" w:w="4320"/>
            <w:shd w:fill="FFFFFF"/>
          </w:tcPr>
          <w:p>
            <w:pPr>
              <w:spacing w:after="40"/>
            </w:pPr>
            <w:r>
              <w:rPr>
                <w:sz w:val="18"/>
              </w:rPr>
              <w:t>Dressed local sandstone; no brick visible in primary construction.</w:t>
            </w:r>
          </w:p>
        </w:tc>
        <w:tc>
          <w:tcPr>
            <w:tcW w:type="dxa" w:w="4320"/>
            <w:shd w:fill="FFFFFF"/>
          </w:tcPr>
          <w:p>
            <w:pPr>
              <w:spacing w:after="40"/>
            </w:pPr>
            <w:r>
              <w:rPr>
                <w:sz w:val="18"/>
              </w:rPr>
              <w:t>Chanderi's stone-building tradition (contrast with brick-built Sultanate sites elsewhere).</w:t>
            </w:r>
          </w:p>
        </w:tc>
      </w:tr>
    </w:tbl>
    <w:p>
      <w:pPr>
        <w:spacing w:after="120"/>
      </w:pPr>
    </w:p>
    <w:p>
      <w:pPr>
        <w:spacing w:before="200" w:after="80"/>
      </w:pPr>
      <w:r>
        <w:rPr>
          <w:rFonts w:ascii="Arial" w:hAnsi="Arial"/>
          <w:b/>
          <w:color w:val="78350F"/>
          <w:sz w:val="26"/>
        </w:rPr>
        <w:t>3. Other Royal Structures</w:t>
      </w:r>
    </w:p>
    <w:p>
      <w:pPr>
        <w:spacing w:after="120" w:line="276" w:lineRule="auto"/>
      </w:pPr>
      <w:r>
        <w:rPr>
          <w:i w:val="0"/>
        </w:rPr>
        <w:t>Beyond the Koshak Mahal, several structures within and adjacent to the fort complex served royal administrative and residential functions. These include audience pavilions, storage structures, and administrative halls within the fort enclosure. Detailed architectural documentation of these subsidiary structures requires dedicated ASI survey [Source: CHA-S001].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