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12. Chanderi Architecture — Detailed Analysis</w:t>
      </w:r>
    </w:p>
    <w:p>
      <w:pPr>
        <w:spacing w:before="280" w:after="120"/>
      </w:pPr>
      <w:r>
        <w:rPr>
          <w:rFonts w:ascii="Arial" w:hAnsi="Arial"/>
          <w:b/>
          <w:color w:val="6D28D9"/>
          <w:sz w:val="30"/>
        </w:rPr>
        <w:t>1. Chanderi as an Architectural Crossroads</w:t>
      </w:r>
    </w:p>
    <w:p>
      <w:pPr>
        <w:spacing w:after="120" w:line="276" w:lineRule="auto"/>
      </w:pPr>
      <w:r>
        <w:rPr>
          <w:i w:val="0"/>
        </w:rPr>
        <w:t>Chanderi's architectural heritage represents a rare synthesis of multiple regional traditions meeting at a geographic and cultural crossroads between Malwa, Bundelkhand, and Central India. The town's buildings embody four centuries of layered architectural production (c. 15th–18th century CE) in which Persian, Mughal, Rajput, and indigenous Central Indian traditions interact [Source: CHA-S001, CHA-S011].</w:t>
      </w:r>
    </w:p>
    <w:p>
      <w:pPr>
        <w:spacing w:before="200" w:after="80"/>
      </w:pPr>
      <w:r>
        <w:rPr>
          <w:rFonts w:ascii="Arial" w:hAnsi="Arial"/>
          <w:b/>
          <w:color w:val="78350F"/>
          <w:sz w:val="26"/>
        </w:rPr>
        <w:t>2. Malwa Sultanate Architecture (c. 15th–early 16th century CE)</w:t>
      </w:r>
    </w:p>
    <w:p>
      <w:pPr>
        <w:spacing w:after="120" w:line="276" w:lineRule="auto"/>
      </w:pPr>
      <w:r>
        <w:rPr>
          <w:i w:val="0"/>
        </w:rPr>
        <w:t>The Malwa Sultanate style is the defining architectural language of historic Chanderi. Its key characteristics at Chanderi include:</w:t>
      </w:r>
    </w:p>
    <w:p>
      <w:pPr>
        <w:pStyle w:val="ListBullet"/>
        <w:spacing w:after="80" w:line="276" w:lineRule="auto"/>
      </w:pPr>
      <w:r>
        <w:rPr>
          <w:b/>
          <w:color w:val="78350F"/>
        </w:rPr>
        <w:t xml:space="preserve">Characteristic Arches: </w:t>
      </w:r>
      <w:r>
        <w:t>Pointed multi-foil arches in facade screens, doorways, and prayer niches — combining Persian pointed arch forms with Indian multi-foil detailing.</w:t>
      </w:r>
    </w:p>
    <w:p>
      <w:pPr>
        <w:pStyle w:val="ListBullet"/>
        <w:spacing w:after="80" w:line="276" w:lineRule="auto"/>
      </w:pPr>
      <w:r>
        <w:rPr>
          <w:b/>
          <w:color w:val="78350F"/>
        </w:rPr>
        <w:t xml:space="preserve">Local Stone Masonry: </w:t>
      </w:r>
      <w:r>
        <w:t>Dressed local sandstone and quartzite as the primary building material, distinguishing Chanderi from brick-dominant Sultanate buildings elsewhere.</w:t>
      </w:r>
    </w:p>
    <w:p>
      <w:pPr>
        <w:pStyle w:val="ListBullet"/>
        <w:spacing w:after="80" w:line="276" w:lineRule="auto"/>
      </w:pPr>
      <w:r>
        <w:rPr>
          <w:b/>
          <w:color w:val="78350F"/>
        </w:rPr>
        <w:t xml:space="preserve">Roofing Systems: </w:t>
      </w:r>
      <w:r>
        <w:t>Flat roofs with crenellated parapets on secular and military structures; shallow domes on religious buildings.</w:t>
      </w:r>
    </w:p>
    <w:p>
      <w:pPr>
        <w:pStyle w:val="ListBullet"/>
        <w:spacing w:after="80" w:line="276" w:lineRule="auto"/>
      </w:pPr>
      <w:r>
        <w:rPr>
          <w:b/>
          <w:color w:val="78350F"/>
        </w:rPr>
        <w:t xml:space="preserve">Decorative Facade Treatment: </w:t>
      </w:r>
      <w:r>
        <w:t>Recessed arched panels creating decorative shadow-and-light effects on facades.</w:t>
      </w:r>
    </w:p>
    <w:p>
      <w:pPr>
        <w:spacing w:before="200" w:after="80"/>
      </w:pPr>
      <w:r>
        <w:rPr>
          <w:rFonts w:ascii="Arial" w:hAnsi="Arial"/>
          <w:b/>
          <w:color w:val="78350F"/>
          <w:sz w:val="26"/>
        </w:rPr>
        <w:t>3. Mughal Period Architecture</w:t>
      </w:r>
    </w:p>
    <w:p>
      <w:pPr>
        <w:spacing w:after="120" w:line="276" w:lineRule="auto"/>
      </w:pPr>
      <w:r>
        <w:rPr>
          <w:i w:val="0"/>
        </w:rPr>
        <w:t>Post-1528 CE Mughal architectural influence at Chanderi is visible in certain structural modifications and additions, though Chanderi did not receive the monumental Mughal patronage of major imperial cities. Mughal-period elements include: larger arched openings, use of lime plaster finish, and proportional changes in arch-to-pier ratios compared to the Malwa Sultanate style [Source: CHA-S001].</w:t>
      </w:r>
    </w:p>
    <w:p>
      <w:pPr>
        <w:spacing w:before="200" w:after="80"/>
      </w:pPr>
      <w:r>
        <w:rPr>
          <w:rFonts w:ascii="Arial" w:hAnsi="Arial"/>
          <w:b/>
          <w:color w:val="78350F"/>
          <w:sz w:val="26"/>
        </w:rPr>
        <w:t>4. Bundela Rajput Architecture (c. 17th–18th century CE)</w:t>
      </w:r>
    </w:p>
    <w:p>
      <w:pPr>
        <w:spacing w:after="120" w:line="276" w:lineRule="auto"/>
      </w:pPr>
      <w:r>
        <w:rPr>
          <w:i w:val="0"/>
        </w:rPr>
        <w:t>Bundela architectural contributions to Chanderi are characterized by:</w:t>
      </w:r>
    </w:p>
    <w:p>
      <w:pPr>
        <w:pStyle w:val="ListBullet"/>
        <w:spacing w:after="80" w:line="276" w:lineRule="auto"/>
      </w:pPr>
      <w:r>
        <w:rPr>
          <w:b/>
          <w:color w:val="78350F"/>
        </w:rPr>
        <w:t xml:space="preserve">Chhatris (Cenotaph Kiosks): </w:t>
      </w:r>
      <w:r>
        <w:t>Small domed chhatris (memorial kiosks) on elevated positions, characteristic of Rajput architectural symbolism.</w:t>
      </w:r>
    </w:p>
    <w:p>
      <w:pPr>
        <w:pStyle w:val="ListBullet"/>
        <w:spacing w:after="80" w:line="276" w:lineRule="auto"/>
      </w:pPr>
      <w:r>
        <w:rPr>
          <w:b/>
          <w:color w:val="78350F"/>
        </w:rPr>
        <w:t xml:space="preserve">Jharokhas: </w:t>
      </w:r>
      <w:r>
        <w:t>Jharokhas — projecting oriel windows with ornate carved brackets — on palace and haveli facades.</w:t>
      </w:r>
    </w:p>
    <w:p>
      <w:pPr>
        <w:pStyle w:val="ListBullet"/>
        <w:spacing w:after="80" w:line="276" w:lineRule="auto"/>
      </w:pPr>
      <w:r>
        <w:rPr>
          <w:b/>
          <w:color w:val="78350F"/>
        </w:rPr>
        <w:t xml:space="preserve">Stone Carving Tradition: </w:t>
      </w:r>
      <w:r>
        <w:t>Intricate floral and geometric stone carving on column brackets, doorway surrounds, and balcony railings.</w:t>
      </w:r>
    </w:p>
    <w:p>
      <w:pPr>
        <w:spacing w:before="200" w:after="80"/>
      </w:pPr>
      <w:r>
        <w:rPr>
          <w:rFonts w:ascii="Arial" w:hAnsi="Arial"/>
          <w:b/>
          <w:color w:val="78350F"/>
          <w:sz w:val="26"/>
        </w:rPr>
        <w:t>5. Architectural Elements Summary Table</w:t>
      </w:r>
    </w:p>
    <w:tbl>
      <w:tblPr>
        <w:tblW w:type="auto" w:w="0"/>
        <w:jc w:val="center"/>
        <w:tblLook w:firstColumn="1" w:firstRow="1" w:lastColumn="0" w:lastRow="0" w:noHBand="0" w:noVBand="1" w:val="04A0"/>
      </w:tblPr>
      <w:tblGrid>
        <w:gridCol w:w="2340"/>
        <w:gridCol w:w="2340"/>
        <w:gridCol w:w="2340"/>
        <w:gridCol w:w="2340"/>
      </w:tblGrid>
      <w:tr>
        <w:tc>
          <w:tcPr>
            <w:tcW w:type="dxa" w:w="2880"/>
            <w:shd w:fill="6D28D9"/>
          </w:tcPr>
          <w:p>
            <w:pPr>
              <w:spacing w:after="40"/>
              <w:jc w:val="left"/>
            </w:pPr>
            <w:r>
              <w:rPr>
                <w:rFonts w:ascii="Arial" w:hAnsi="Arial"/>
                <w:b/>
                <w:color w:val="FFFFFF"/>
                <w:sz w:val="19"/>
              </w:rPr>
              <w:t>Element</w:t>
            </w:r>
          </w:p>
        </w:tc>
        <w:tc>
          <w:tcPr>
            <w:tcW w:type="dxa" w:w="3600"/>
            <w:shd w:fill="6D28D9"/>
          </w:tcPr>
          <w:p>
            <w:pPr>
              <w:spacing w:after="40"/>
              <w:jc w:val="left"/>
            </w:pPr>
            <w:r>
              <w:rPr>
                <w:rFonts w:ascii="Arial" w:hAnsi="Arial"/>
                <w:b/>
                <w:color w:val="FFFFFF"/>
                <w:sz w:val="19"/>
              </w:rPr>
              <w:t>Description</w:t>
            </w:r>
          </w:p>
        </w:tc>
        <w:tc>
          <w:tcPr>
            <w:tcW w:type="dxa" w:w="2160"/>
            <w:shd w:fill="6D28D9"/>
          </w:tcPr>
          <w:p>
            <w:pPr>
              <w:spacing w:after="40"/>
              <w:jc w:val="left"/>
            </w:pPr>
            <w:r>
              <w:rPr>
                <w:rFonts w:ascii="Arial" w:hAnsi="Arial"/>
                <w:b/>
                <w:color w:val="FFFFFF"/>
                <w:sz w:val="19"/>
              </w:rPr>
              <w:t>Period</w:t>
            </w:r>
          </w:p>
        </w:tc>
        <w:tc>
          <w:tcPr>
            <w:tcW w:type="dxa" w:w="3168"/>
            <w:shd w:fill="6D28D9"/>
          </w:tcPr>
          <w:p>
            <w:pPr>
              <w:spacing w:after="40"/>
              <w:jc w:val="left"/>
            </w:pPr>
            <w:r>
              <w:rPr>
                <w:rFonts w:ascii="Arial" w:hAnsi="Arial"/>
                <w:b/>
                <w:color w:val="FFFFFF"/>
                <w:sz w:val="19"/>
              </w:rPr>
              <w:t>Example at Chanderi</w:t>
            </w:r>
          </w:p>
        </w:tc>
      </w:tr>
      <w:tr>
        <w:tc>
          <w:tcPr>
            <w:tcW w:type="dxa" w:w="2880"/>
            <w:shd w:fill="FFFFFF"/>
          </w:tcPr>
          <w:p>
            <w:pPr>
              <w:spacing w:after="40"/>
            </w:pPr>
            <w:r>
              <w:rPr>
                <w:sz w:val="18"/>
              </w:rPr>
              <w:t>Pointed Multi-foil Arch</w:t>
            </w:r>
          </w:p>
        </w:tc>
        <w:tc>
          <w:tcPr>
            <w:tcW w:type="dxa" w:w="3600"/>
            <w:shd w:fill="FFFFFF"/>
          </w:tcPr>
          <w:p>
            <w:pPr>
              <w:spacing w:after="40"/>
            </w:pPr>
            <w:r>
              <w:rPr>
                <w:sz w:val="18"/>
              </w:rPr>
              <w:t>Arch with cusped intrados; Persian-Indian hybrid form.</w:t>
            </w:r>
          </w:p>
        </w:tc>
        <w:tc>
          <w:tcPr>
            <w:tcW w:type="dxa" w:w="2160"/>
            <w:shd w:fill="FFFFFF"/>
          </w:tcPr>
          <w:p>
            <w:pPr>
              <w:spacing w:after="40"/>
            </w:pPr>
            <w:r>
              <w:rPr>
                <w:sz w:val="18"/>
              </w:rPr>
              <w:t>Malwa Sultanate</w:t>
            </w:r>
          </w:p>
        </w:tc>
        <w:tc>
          <w:tcPr>
            <w:tcW w:type="dxa" w:w="3168"/>
            <w:shd w:fill="FFFFFF"/>
          </w:tcPr>
          <w:p>
            <w:pPr>
              <w:spacing w:after="40"/>
            </w:pPr>
            <w:r>
              <w:rPr>
                <w:sz w:val="18"/>
              </w:rPr>
              <w:t>Koshak Mahal facades; Jama Masjid prayer hall.</w:t>
            </w:r>
          </w:p>
        </w:tc>
      </w:tr>
      <w:tr>
        <w:tc>
          <w:tcPr>
            <w:tcW w:type="dxa" w:w="2880"/>
            <w:shd w:fill="F5F3FF"/>
          </w:tcPr>
          <w:p>
            <w:pPr>
              <w:spacing w:after="40"/>
            </w:pPr>
            <w:r>
              <w:rPr>
                <w:sz w:val="18"/>
              </w:rPr>
              <w:t>Chhatri</w:t>
            </w:r>
          </w:p>
        </w:tc>
        <w:tc>
          <w:tcPr>
            <w:tcW w:type="dxa" w:w="3600"/>
            <w:shd w:fill="F5F3FF"/>
          </w:tcPr>
          <w:p>
            <w:pPr>
              <w:spacing w:after="40"/>
            </w:pPr>
            <w:r>
              <w:rPr>
                <w:sz w:val="18"/>
              </w:rPr>
              <w:t>Small domed pavilion on raised drum; Rajput tradition.</w:t>
            </w:r>
          </w:p>
        </w:tc>
        <w:tc>
          <w:tcPr>
            <w:tcW w:type="dxa" w:w="2160"/>
            <w:shd w:fill="F5F3FF"/>
          </w:tcPr>
          <w:p>
            <w:pPr>
              <w:spacing w:after="40"/>
            </w:pPr>
            <w:r>
              <w:rPr>
                <w:sz w:val="18"/>
              </w:rPr>
              <w:t>Bundela</w:t>
            </w:r>
          </w:p>
        </w:tc>
        <w:tc>
          <w:tcPr>
            <w:tcW w:type="dxa" w:w="3168"/>
            <w:shd w:fill="F5F3FF"/>
          </w:tcPr>
          <w:p>
            <w:pPr>
              <w:spacing w:after="40"/>
            </w:pPr>
            <w:r>
              <w:rPr>
                <w:sz w:val="18"/>
              </w:rPr>
              <w:t>Fort area; memorial structures.</w:t>
            </w:r>
          </w:p>
        </w:tc>
      </w:tr>
      <w:tr>
        <w:tc>
          <w:tcPr>
            <w:tcW w:type="dxa" w:w="2880"/>
            <w:shd w:fill="FFFFFF"/>
          </w:tcPr>
          <w:p>
            <w:pPr>
              <w:spacing w:after="40"/>
            </w:pPr>
            <w:r>
              <w:rPr>
                <w:sz w:val="18"/>
              </w:rPr>
              <w:t>Jharokha</w:t>
            </w:r>
          </w:p>
        </w:tc>
        <w:tc>
          <w:tcPr>
            <w:tcW w:type="dxa" w:w="3600"/>
            <w:shd w:fill="FFFFFF"/>
          </w:tcPr>
          <w:p>
            <w:pPr>
              <w:spacing w:after="40"/>
            </w:pPr>
            <w:r>
              <w:rPr>
                <w:sz w:val="18"/>
              </w:rPr>
              <w:t>Projecting oriel window with carved bracket support.</w:t>
            </w:r>
          </w:p>
        </w:tc>
        <w:tc>
          <w:tcPr>
            <w:tcW w:type="dxa" w:w="2160"/>
            <w:shd w:fill="FFFFFF"/>
          </w:tcPr>
          <w:p>
            <w:pPr>
              <w:spacing w:after="40"/>
            </w:pPr>
            <w:r>
              <w:rPr>
                <w:sz w:val="18"/>
              </w:rPr>
              <w:t>Bundela / Mughal</w:t>
            </w:r>
          </w:p>
        </w:tc>
        <w:tc>
          <w:tcPr>
            <w:tcW w:type="dxa" w:w="3168"/>
            <w:shd w:fill="FFFFFF"/>
          </w:tcPr>
          <w:p>
            <w:pPr>
              <w:spacing w:after="40"/>
            </w:pPr>
            <w:r>
              <w:rPr>
                <w:sz w:val="18"/>
              </w:rPr>
              <w:t>Historic haveli facades in town.</w:t>
            </w:r>
          </w:p>
        </w:tc>
      </w:tr>
      <w:tr>
        <w:tc>
          <w:tcPr>
            <w:tcW w:type="dxa" w:w="2880"/>
            <w:shd w:fill="F5F3FF"/>
          </w:tcPr>
          <w:p>
            <w:pPr>
              <w:spacing w:after="40"/>
            </w:pPr>
            <w:r>
              <w:rPr>
                <w:sz w:val="18"/>
              </w:rPr>
              <w:t>Trefoil Niche</w:t>
            </w:r>
          </w:p>
        </w:tc>
        <w:tc>
          <w:tcPr>
            <w:tcW w:type="dxa" w:w="3600"/>
            <w:shd w:fill="F5F3FF"/>
          </w:tcPr>
          <w:p>
            <w:pPr>
              <w:spacing w:after="40"/>
            </w:pPr>
            <w:r>
              <w:rPr>
                <w:sz w:val="18"/>
              </w:rPr>
              <w:t>Three-lobed decorative niche in wall face.</w:t>
            </w:r>
          </w:p>
        </w:tc>
        <w:tc>
          <w:tcPr>
            <w:tcW w:type="dxa" w:w="2160"/>
            <w:shd w:fill="F5F3FF"/>
          </w:tcPr>
          <w:p>
            <w:pPr>
              <w:spacing w:after="40"/>
            </w:pPr>
            <w:r>
              <w:rPr>
                <w:sz w:val="18"/>
              </w:rPr>
              <w:t>Malwa Sultanate</w:t>
            </w:r>
          </w:p>
        </w:tc>
        <w:tc>
          <w:tcPr>
            <w:tcW w:type="dxa" w:w="3168"/>
            <w:shd w:fill="F5F3FF"/>
          </w:tcPr>
          <w:p>
            <w:pPr>
              <w:spacing w:after="40"/>
            </w:pPr>
            <w:r>
              <w:rPr>
                <w:sz w:val="18"/>
              </w:rPr>
              <w:t>Mosque mihrab niches; decorative wall panels.</w:t>
            </w:r>
          </w:p>
        </w:tc>
      </w:tr>
      <w:tr>
        <w:tc>
          <w:tcPr>
            <w:tcW w:type="dxa" w:w="2880"/>
            <w:shd w:fill="FFFFFF"/>
          </w:tcPr>
          <w:p>
            <w:pPr>
              <w:spacing w:after="40"/>
            </w:pPr>
            <w:r>
              <w:rPr>
                <w:sz w:val="18"/>
              </w:rPr>
              <w:t>Squinch Arch</w:t>
            </w:r>
          </w:p>
        </w:tc>
        <w:tc>
          <w:tcPr>
            <w:tcW w:type="dxa" w:w="3600"/>
            <w:shd w:fill="FFFFFF"/>
          </w:tcPr>
          <w:p>
            <w:pPr>
              <w:spacing w:after="40"/>
            </w:pPr>
            <w:r>
              <w:rPr>
                <w:sz w:val="18"/>
              </w:rPr>
              <w:t>Diagonal arch converting square room to octagonal dome base.</w:t>
            </w:r>
          </w:p>
        </w:tc>
        <w:tc>
          <w:tcPr>
            <w:tcW w:type="dxa" w:w="2160"/>
            <w:shd w:fill="FFFFFF"/>
          </w:tcPr>
          <w:p>
            <w:pPr>
              <w:spacing w:after="40"/>
            </w:pPr>
            <w:r>
              <w:rPr>
                <w:sz w:val="18"/>
              </w:rPr>
              <w:t>Malwa Sultanate – Mughal</w:t>
            </w:r>
          </w:p>
        </w:tc>
        <w:tc>
          <w:tcPr>
            <w:tcW w:type="dxa" w:w="3168"/>
            <w:shd w:fill="FFFFFF"/>
          </w:tcPr>
          <w:p>
            <w:pPr>
              <w:spacing w:after="40"/>
            </w:pPr>
            <w:r>
              <w:rPr>
                <w:sz w:val="18"/>
              </w:rPr>
              <w:t>Mosque and tomb dome transitions.</w:t>
            </w:r>
          </w:p>
        </w:tc>
      </w:tr>
      <w:tr>
        <w:tc>
          <w:tcPr>
            <w:tcW w:type="dxa" w:w="2880"/>
            <w:shd w:fill="F5F3FF"/>
          </w:tcPr>
          <w:p>
            <w:pPr>
              <w:spacing w:after="40"/>
            </w:pPr>
            <w:r>
              <w:rPr>
                <w:sz w:val="18"/>
              </w:rPr>
              <w:t>Stepped Tank Surround</w:t>
            </w:r>
          </w:p>
        </w:tc>
        <w:tc>
          <w:tcPr>
            <w:tcW w:type="dxa" w:w="3600"/>
            <w:shd w:fill="F5F3FF"/>
          </w:tcPr>
          <w:p>
            <w:pPr>
              <w:spacing w:after="40"/>
            </w:pPr>
            <w:r>
              <w:rPr>
                <w:sz w:val="18"/>
              </w:rPr>
              <w:t>Dressed stone stepped perimeter of stepwells.</w:t>
            </w:r>
          </w:p>
        </w:tc>
        <w:tc>
          <w:tcPr>
            <w:tcW w:type="dxa" w:w="2160"/>
            <w:shd w:fill="F5F3FF"/>
          </w:tcPr>
          <w:p>
            <w:pPr>
              <w:spacing w:after="40"/>
            </w:pPr>
            <w:r>
              <w:rPr>
                <w:sz w:val="18"/>
              </w:rPr>
              <w:t>Multiple periods</w:t>
            </w:r>
          </w:p>
        </w:tc>
        <w:tc>
          <w:tcPr>
            <w:tcW w:type="dxa" w:w="3168"/>
            <w:shd w:fill="F5F3FF"/>
          </w:tcPr>
          <w:p>
            <w:pPr>
              <w:spacing w:after="40"/>
            </w:pPr>
            <w:r>
              <w:rPr>
                <w:sz w:val="18"/>
              </w:rPr>
              <w:t>Multiple stepwells in historic Chanderi.</w:t>
            </w:r>
          </w:p>
        </w:tc>
      </w:tr>
      <w:tr>
        <w:tc>
          <w:tcPr>
            <w:tcW w:type="dxa" w:w="2880"/>
            <w:shd w:fill="FFFFFF"/>
          </w:tcPr>
          <w:p>
            <w:pPr>
              <w:spacing w:after="40"/>
            </w:pPr>
            <w:r>
              <w:rPr>
                <w:sz w:val="18"/>
              </w:rPr>
              <w:t>Carved Bracket (Gandabherunda)</w:t>
            </w:r>
          </w:p>
        </w:tc>
        <w:tc>
          <w:tcPr>
            <w:tcW w:type="dxa" w:w="3600"/>
            <w:shd w:fill="FFFFFF"/>
          </w:tcPr>
          <w:p>
            <w:pPr>
              <w:spacing w:after="40"/>
            </w:pPr>
            <w:r>
              <w:rPr>
                <w:sz w:val="18"/>
              </w:rPr>
              <w:t>Mythological double-headed eagle carved bracket.</w:t>
            </w:r>
          </w:p>
        </w:tc>
        <w:tc>
          <w:tcPr>
            <w:tcW w:type="dxa" w:w="2160"/>
            <w:shd w:fill="FFFFFF"/>
          </w:tcPr>
          <w:p>
            <w:pPr>
              <w:spacing w:after="40"/>
            </w:pPr>
            <w:r>
              <w:rPr>
                <w:sz w:val="18"/>
              </w:rPr>
              <w:t>Regional Hindu/Jain</w:t>
            </w:r>
          </w:p>
        </w:tc>
        <w:tc>
          <w:tcPr>
            <w:tcW w:type="dxa" w:w="3168"/>
            <w:shd w:fill="FFFFFF"/>
          </w:tcPr>
          <w:p>
            <w:pPr>
              <w:spacing w:after="40"/>
            </w:pPr>
            <w:r>
              <w:rPr>
                <w:sz w:val="18"/>
              </w:rPr>
              <w:t>Temple column brackets.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