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13. Stepwells &amp; Water Heritage of Chanderi</w:t>
      </w:r>
    </w:p>
    <w:p>
      <w:pPr>
        <w:spacing w:before="280" w:after="120"/>
      </w:pPr>
      <w:r>
        <w:rPr>
          <w:rFonts w:ascii="Arial" w:hAnsi="Arial"/>
          <w:b/>
          <w:color w:val="6D28D9"/>
          <w:sz w:val="30"/>
        </w:rPr>
        <w:t>1. Chanderi's Stepwell Tradition</w:t>
      </w:r>
    </w:p>
    <w:p>
      <w:pPr>
        <w:spacing w:after="120" w:line="276" w:lineRule="auto"/>
      </w:pPr>
      <w:r>
        <w:rPr>
          <w:i w:val="0"/>
        </w:rPr>
        <w:t>Chanderi's historic stepwells (vavs or baoris) are among its most significant but least celebrated heritage assets. Built primarily during the Malwa Sultanate and subsequent periods to address the town's water needs in a semi-arid environment, the stepwells combine sophisticated engineering with architectural beauty. The ASI documents multiple historic stepwells within and around the historic town [Source: CHA-S001, CHA-S010].</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[STEPWELL DATA: VERIFICATION NOTE]</w:t>
              <w:br/>
            </w:r>
            <w:r>
              <w:rPr>
                <w:sz w:val="19"/>
              </w:rPr>
              <w:t>Precise dimensions, dates, and patron attributions for individual stepwells require dedicated ASI survey and measurement. The inventory below is based on available heritage documentation. Several stepwells may be partially silted or vegetation-covered and require further field survey.</w:t>
            </w:r>
          </w:p>
        </w:tc>
      </w:tr>
    </w:tbl>
    <w:p>
      <w:pPr>
        <w:spacing w:after="80"/>
      </w:pPr>
    </w:p>
    <w:p>
      <w:pPr>
        <w:spacing w:before="200" w:after="80"/>
      </w:pPr>
      <w:r>
        <w:rPr>
          <w:rFonts w:ascii="Arial" w:hAnsi="Arial"/>
          <w:b/>
          <w:color w:val="78350F"/>
          <w:sz w:val="26"/>
        </w:rPr>
        <w:t>2. Stepwell Inventory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6D28D9"/>
          </w:tcPr>
          <w:p>
            <w:pPr>
              <w:spacing w:after="40"/>
              <w:jc w:val="left"/>
            </w:pPr>
            <w:r>
              <w:rPr>
                <w:rFonts w:ascii="Arial" w:hAnsi="Arial"/>
                <w:b/>
                <w:color w:val="FFFFFF"/>
                <w:sz w:val="19"/>
              </w:rPr>
              <w:t>Name</w:t>
            </w:r>
          </w:p>
        </w:tc>
        <w:tc>
          <w:tcPr>
            <w:tcW w:type="dxa" w:w="2592"/>
            <w:shd w:fill="6D28D9"/>
          </w:tcPr>
          <w:p>
            <w:pPr>
              <w:spacing w:after="40"/>
              <w:jc w:val="left"/>
            </w:pPr>
            <w:r>
              <w:rPr>
                <w:rFonts w:ascii="Arial" w:hAnsi="Arial"/>
                <w:b/>
                <w:color w:val="FFFFFF"/>
                <w:sz w:val="19"/>
              </w:rPr>
              <w:t>Location</w:t>
            </w:r>
          </w:p>
        </w:tc>
        <w:tc>
          <w:tcPr>
            <w:tcW w:type="dxa" w:w="2160"/>
            <w:shd w:fill="6D28D9"/>
          </w:tcPr>
          <w:p>
            <w:pPr>
              <w:spacing w:after="40"/>
              <w:jc w:val="left"/>
            </w:pPr>
            <w:r>
              <w:rPr>
                <w:rFonts w:ascii="Arial" w:hAnsi="Arial"/>
                <w:b/>
                <w:color w:val="FFFFFF"/>
                <w:sz w:val="19"/>
              </w:rPr>
              <w:t>Period</w:t>
            </w:r>
          </w:p>
        </w:tc>
        <w:tc>
          <w:tcPr>
            <w:tcW w:type="dxa" w:w="2160"/>
            <w:shd w:fill="6D28D9"/>
          </w:tcPr>
          <w:p>
            <w:pPr>
              <w:spacing w:after="40"/>
              <w:jc w:val="left"/>
            </w:pPr>
            <w:r>
              <w:rPr>
                <w:rFonts w:ascii="Arial" w:hAnsi="Arial"/>
                <w:b/>
                <w:color w:val="FFFFFF"/>
                <w:sz w:val="19"/>
              </w:rPr>
              <w:t>Dimensions</w:t>
            </w:r>
          </w:p>
        </w:tc>
        <w:tc>
          <w:tcPr>
            <w:tcW w:type="dxa" w:w="2880"/>
            <w:shd w:fill="6D28D9"/>
          </w:tcPr>
          <w:p>
            <w:pPr>
              <w:spacing w:after="40"/>
              <w:jc w:val="left"/>
            </w:pPr>
            <w:r>
              <w:rPr>
                <w:rFonts w:ascii="Arial" w:hAnsi="Arial"/>
                <w:b/>
                <w:color w:val="FFFFFF"/>
                <w:sz w:val="19"/>
              </w:rPr>
              <w:t>Architectural Features</w:t>
            </w:r>
          </w:p>
        </w:tc>
        <w:tc>
          <w:tcPr>
            <w:tcW w:type="dxa" w:w="1872"/>
            <w:shd w:fill="6D28D9"/>
          </w:tcPr>
          <w:p>
            <w:pPr>
              <w:spacing w:after="40"/>
              <w:jc w:val="left"/>
            </w:pPr>
            <w:r>
              <w:rPr>
                <w:rFonts w:ascii="Arial" w:hAnsi="Arial"/>
                <w:b/>
                <w:color w:val="FFFFFF"/>
                <w:sz w:val="19"/>
              </w:rPr>
              <w:t>Condition</w:t>
            </w:r>
          </w:p>
        </w:tc>
        <w:tc>
          <w:tcPr>
            <w:tcW w:type="dxa" w:w="1152"/>
            <w:shd w:fill="6D28D9"/>
          </w:tcPr>
          <w:p>
            <w:pPr>
              <w:spacing w:after="40"/>
              <w:jc w:val="left"/>
            </w:pPr>
            <w:r>
              <w:rPr>
                <w:rFonts w:ascii="Arial" w:hAnsi="Arial"/>
                <w:b/>
                <w:color w:val="FFFFFF"/>
                <w:sz w:val="19"/>
              </w:rPr>
              <w:t>Source</w:t>
            </w:r>
          </w:p>
        </w:tc>
      </w:tr>
      <w:tr>
        <w:tc>
          <w:tcPr>
            <w:tcW w:type="dxa" w:w="2160"/>
            <w:shd w:fill="FFFFFF"/>
          </w:tcPr>
          <w:p>
            <w:pPr>
              <w:spacing w:after="40"/>
            </w:pPr>
            <w:r>
              <w:rPr>
                <w:sz w:val="18"/>
              </w:rPr>
              <w:t>Chanderi Baori (primary)</w:t>
            </w:r>
          </w:p>
        </w:tc>
        <w:tc>
          <w:tcPr>
            <w:tcW w:type="dxa" w:w="2592"/>
            <w:shd w:fill="FFFFFF"/>
          </w:tcPr>
          <w:p>
            <w:pPr>
              <w:spacing w:after="40"/>
            </w:pPr>
            <w:r>
              <w:rPr>
                <w:sz w:val="18"/>
              </w:rPr>
              <w:t>Historic town — central area</w:t>
            </w:r>
          </w:p>
        </w:tc>
        <w:tc>
          <w:tcPr>
            <w:tcW w:type="dxa" w:w="2160"/>
            <w:shd w:fill="FFFFFF"/>
          </w:tcPr>
          <w:p>
            <w:pPr>
              <w:spacing w:after="40"/>
            </w:pPr>
            <w:r>
              <w:rPr>
                <w:sz w:val="18"/>
              </w:rPr>
              <w:t>Malwa Sultanate (c. 15th–16th CE)</w:t>
            </w:r>
          </w:p>
        </w:tc>
        <w:tc>
          <w:tcPr>
            <w:tcW w:type="dxa" w:w="2160"/>
            <w:shd w:fill="FFFFFF"/>
          </w:tcPr>
          <w:p>
            <w:pPr>
              <w:spacing w:after="40"/>
            </w:pPr>
            <w:r>
              <w:rPr>
                <w:sz w:val="18"/>
              </w:rPr>
              <w:t>Multi-stepped; several flights of stairs leading to water level.</w:t>
            </w:r>
          </w:p>
        </w:tc>
        <w:tc>
          <w:tcPr>
            <w:tcW w:type="dxa" w:w="2880"/>
            <w:shd w:fill="FFFFFF"/>
          </w:tcPr>
          <w:p>
            <w:pPr>
              <w:spacing w:after="40"/>
            </w:pPr>
            <w:r>
              <w:rPr>
                <w:sz w:val="18"/>
              </w:rPr>
              <w:t>Dressed stone steps; arched pavilion at head; decorative niches in side walls.</w:t>
            </w:r>
          </w:p>
        </w:tc>
        <w:tc>
          <w:tcPr>
            <w:tcW w:type="dxa" w:w="1872"/>
            <w:shd w:fill="FFFFFF"/>
          </w:tcPr>
          <w:p>
            <w:pPr>
              <w:spacing w:after="40"/>
            </w:pPr>
            <w:r>
              <w:rPr>
                <w:sz w:val="18"/>
              </w:rPr>
              <w:t>Partially silted; requires conservation.</w:t>
            </w:r>
          </w:p>
        </w:tc>
        <w:tc>
          <w:tcPr>
            <w:tcW w:type="dxa" w:w="1152"/>
            <w:shd w:fill="FFFFFF"/>
          </w:tcPr>
          <w:p>
            <w:pPr>
              <w:spacing w:after="40"/>
            </w:pPr>
            <w:r>
              <w:rPr>
                <w:sz w:val="18"/>
              </w:rPr>
              <w:t>CHA-S001</w:t>
            </w:r>
          </w:p>
        </w:tc>
      </w:tr>
      <w:tr>
        <w:tc>
          <w:tcPr>
            <w:tcW w:type="dxa" w:w="2160"/>
            <w:shd w:fill="F5F3FF"/>
          </w:tcPr>
          <w:p>
            <w:pPr>
              <w:spacing w:after="40"/>
            </w:pPr>
            <w:r>
              <w:rPr>
                <w:sz w:val="18"/>
              </w:rPr>
              <w:t>Baoli near Jama Masjid</w:t>
            </w:r>
          </w:p>
        </w:tc>
        <w:tc>
          <w:tcPr>
            <w:tcW w:type="dxa" w:w="2592"/>
            <w:shd w:fill="F5F3FF"/>
          </w:tcPr>
          <w:p>
            <w:pPr>
              <w:spacing w:after="40"/>
            </w:pPr>
            <w:r>
              <w:rPr>
                <w:sz w:val="18"/>
              </w:rPr>
              <w:t>Adjacent to Jama Masjid</w:t>
            </w:r>
          </w:p>
        </w:tc>
        <w:tc>
          <w:tcPr>
            <w:tcW w:type="dxa" w:w="2160"/>
            <w:shd w:fill="F5F3FF"/>
          </w:tcPr>
          <w:p>
            <w:pPr>
              <w:spacing w:after="40"/>
            </w:pPr>
            <w:r>
              <w:rPr>
                <w:sz w:val="18"/>
              </w:rPr>
              <w:t>Medieval (period requires survey)</w:t>
            </w:r>
          </w:p>
        </w:tc>
        <w:tc>
          <w:tcPr>
            <w:tcW w:type="dxa" w:w="2160"/>
            <w:shd w:fill="F5F3FF"/>
          </w:tcPr>
          <w:p>
            <w:pPr>
              <w:spacing w:after="40"/>
            </w:pPr>
            <w:r>
              <w:rPr>
                <w:sz w:val="18"/>
              </w:rPr>
              <w:t>Rectangular tank with stepped access.</w:t>
            </w:r>
          </w:p>
        </w:tc>
        <w:tc>
          <w:tcPr>
            <w:tcW w:type="dxa" w:w="2880"/>
            <w:shd w:fill="F5F3FF"/>
          </w:tcPr>
          <w:p>
            <w:pPr>
              <w:spacing w:after="40"/>
            </w:pPr>
            <w:r>
              <w:rPr>
                <w:sz w:val="18"/>
              </w:rPr>
              <w:t>Stone-dressed perimeter; connected to mosque's ablution water supply.</w:t>
            </w:r>
          </w:p>
        </w:tc>
        <w:tc>
          <w:tcPr>
            <w:tcW w:type="dxa" w:w="1872"/>
            <w:shd w:fill="F5F3FF"/>
          </w:tcPr>
          <w:p>
            <w:pPr>
              <w:spacing w:after="40"/>
            </w:pPr>
            <w:r>
              <w:rPr>
                <w:sz w:val="18"/>
              </w:rPr>
              <w:t>Partially visible; silted.</w:t>
            </w:r>
          </w:p>
        </w:tc>
        <w:tc>
          <w:tcPr>
            <w:tcW w:type="dxa" w:w="1152"/>
            <w:shd w:fill="F5F3FF"/>
          </w:tcPr>
          <w:p>
            <w:pPr>
              <w:spacing w:after="40"/>
            </w:pPr>
            <w:r>
              <w:rPr>
                <w:sz w:val="18"/>
              </w:rPr>
              <w:t>CHA-S001</w:t>
            </w:r>
          </w:p>
        </w:tc>
      </w:tr>
      <w:tr>
        <w:tc>
          <w:tcPr>
            <w:tcW w:type="dxa" w:w="2160"/>
            <w:shd w:fill="FFFFFF"/>
          </w:tcPr>
          <w:p>
            <w:pPr>
              <w:spacing w:after="40"/>
            </w:pPr>
            <w:r>
              <w:rPr>
                <w:sz w:val="18"/>
              </w:rPr>
              <w:t>Fort Cisterns</w:t>
            </w:r>
          </w:p>
        </w:tc>
        <w:tc>
          <w:tcPr>
            <w:tcW w:type="dxa" w:w="2592"/>
            <w:shd w:fill="FFFFFF"/>
          </w:tcPr>
          <w:p>
            <w:pPr>
              <w:spacing w:after="40"/>
            </w:pPr>
            <w:r>
              <w:rPr>
                <w:sz w:val="18"/>
              </w:rPr>
              <w:t>Within fort complex</w:t>
            </w:r>
          </w:p>
        </w:tc>
        <w:tc>
          <w:tcPr>
            <w:tcW w:type="dxa" w:w="2160"/>
            <w:shd w:fill="FFFFFF"/>
          </w:tcPr>
          <w:p>
            <w:pPr>
              <w:spacing w:after="40"/>
            </w:pPr>
            <w:r>
              <w:rPr>
                <w:sz w:val="18"/>
              </w:rPr>
              <w:t>Multiple phases</w:t>
            </w:r>
          </w:p>
        </w:tc>
        <w:tc>
          <w:tcPr>
            <w:tcW w:type="dxa" w:w="2160"/>
            <w:shd w:fill="FFFFFF"/>
          </w:tcPr>
          <w:p>
            <w:pPr>
              <w:spacing w:after="40"/>
            </w:pPr>
            <w:r>
              <w:rPr>
                <w:sz w:val="18"/>
              </w:rPr>
              <w:t>Rock-cut storage cisterns.</w:t>
            </w:r>
          </w:p>
        </w:tc>
        <w:tc>
          <w:tcPr>
            <w:tcW w:type="dxa" w:w="2880"/>
            <w:shd w:fill="FFFFFF"/>
          </w:tcPr>
          <w:p>
            <w:pPr>
              <w:spacing w:after="40"/>
            </w:pPr>
            <w:r>
              <w:rPr>
                <w:sz w:val="18"/>
              </w:rPr>
              <w:t>Rock-cut into quartzite bedrock; smooth-cut walls.</w:t>
            </w:r>
          </w:p>
        </w:tc>
        <w:tc>
          <w:tcPr>
            <w:tcW w:type="dxa" w:w="1872"/>
            <w:shd w:fill="FFFFFF"/>
          </w:tcPr>
          <w:p>
            <w:pPr>
              <w:spacing w:after="40"/>
            </w:pPr>
            <w:r>
              <w:rPr>
                <w:sz w:val="18"/>
              </w:rPr>
              <w:t>Some visible; require drainage.</w:t>
            </w:r>
          </w:p>
        </w:tc>
        <w:tc>
          <w:tcPr>
            <w:tcW w:type="dxa" w:w="1152"/>
            <w:shd w:fill="FFFFFF"/>
          </w:tcPr>
          <w:p>
            <w:pPr>
              <w:spacing w:after="40"/>
            </w:pPr>
            <w:r>
              <w:rPr>
                <w:sz w:val="18"/>
              </w:rPr>
              <w:t>CHA-S001</w:t>
            </w:r>
          </w:p>
        </w:tc>
      </w:tr>
      <w:tr>
        <w:tc>
          <w:tcPr>
            <w:tcW w:type="dxa" w:w="2160"/>
            <w:shd w:fill="F5F3FF"/>
          </w:tcPr>
          <w:p>
            <w:pPr>
              <w:spacing w:after="40"/>
            </w:pPr>
            <w:r>
              <w:rPr>
                <w:sz w:val="18"/>
              </w:rPr>
              <w:t>Kanchan Sagar Ghats</w:t>
            </w:r>
          </w:p>
        </w:tc>
        <w:tc>
          <w:tcPr>
            <w:tcW w:type="dxa" w:w="2592"/>
            <w:shd w:fill="F5F3FF"/>
          </w:tcPr>
          <w:p>
            <w:pPr>
              <w:spacing w:after="40"/>
            </w:pPr>
            <w:r>
              <w:rPr>
                <w:sz w:val="18"/>
              </w:rPr>
              <w:t>Kanchan Sagar Lake shore</w:t>
            </w:r>
          </w:p>
        </w:tc>
        <w:tc>
          <w:tcPr>
            <w:tcW w:type="dxa" w:w="2160"/>
            <w:shd w:fill="F5F3FF"/>
          </w:tcPr>
          <w:p>
            <w:pPr>
              <w:spacing w:after="40"/>
            </w:pPr>
            <w:r>
              <w:rPr>
                <w:sz w:val="18"/>
              </w:rPr>
              <w:t>Medieval</w:t>
            </w:r>
          </w:p>
        </w:tc>
        <w:tc>
          <w:tcPr>
            <w:tcW w:type="dxa" w:w="2160"/>
            <w:shd w:fill="F5F3FF"/>
          </w:tcPr>
          <w:p>
            <w:pPr>
              <w:spacing w:after="40"/>
            </w:pPr>
            <w:r>
              <w:rPr>
                <w:sz w:val="18"/>
              </w:rPr>
              <w:t>Stone-paved stepped ghats descending to lake.</w:t>
            </w:r>
          </w:p>
        </w:tc>
        <w:tc>
          <w:tcPr>
            <w:tcW w:type="dxa" w:w="2880"/>
            <w:shd w:fill="F5F3FF"/>
          </w:tcPr>
          <w:p>
            <w:pPr>
              <w:spacing w:after="40"/>
            </w:pPr>
            <w:r>
              <w:rPr>
                <w:sz w:val="18"/>
              </w:rPr>
              <w:t>Multiple descending terraces; ceremonial and utilitarian use.</w:t>
            </w:r>
          </w:p>
        </w:tc>
        <w:tc>
          <w:tcPr>
            <w:tcW w:type="dxa" w:w="1872"/>
            <w:shd w:fill="F5F3FF"/>
          </w:tcPr>
          <w:p>
            <w:pPr>
              <w:spacing w:after="40"/>
            </w:pPr>
            <w:r>
              <w:rPr>
                <w:sz w:val="18"/>
              </w:rPr>
              <w:t>Partially surviving.</w:t>
            </w:r>
          </w:p>
        </w:tc>
        <w:tc>
          <w:tcPr>
            <w:tcW w:type="dxa" w:w="1152"/>
            <w:shd w:fill="F5F3FF"/>
          </w:tcPr>
          <w:p>
            <w:pPr>
              <w:spacing w:after="40"/>
            </w:pPr>
            <w:r>
              <w:rPr>
                <w:sz w:val="18"/>
              </w:rPr>
              <w:t>CHA-S001, CHA-S004</w:t>
            </w:r>
          </w:p>
        </w:tc>
      </w:tr>
    </w:tbl>
    <w:p>
      <w:pPr>
        <w:spacing w:after="120"/>
      </w:pPr>
    </w:p>
    <w:p>
      <w:pPr>
        <w:spacing w:before="200" w:after="80"/>
      </w:pPr>
      <w:r>
        <w:rPr>
          <w:rFonts w:ascii="Arial" w:hAnsi="Arial"/>
          <w:b/>
          <w:color w:val="78350F"/>
          <w:sz w:val="26"/>
        </w:rPr>
        <w:t>3. Engineering of Chanderi's Water System</w:t>
      </w:r>
    </w:p>
    <w:p>
      <w:pPr>
        <w:spacing w:after="120" w:line="276" w:lineRule="auto"/>
      </w:pPr>
      <w:r>
        <w:rPr>
          <w:i w:val="0"/>
        </w:rPr>
        <w:t>Chanderi's water heritage demonstrates sophisticated medieval water management in a semi-arid environment. The town's engineers created an interconnected system of:</w:t>
      </w:r>
    </w:p>
    <w:p>
      <w:pPr>
        <w:pStyle w:val="ListBullet"/>
        <w:spacing w:after="80" w:line="276" w:lineRule="auto"/>
      </w:pPr>
      <w:r>
        <w:rPr>
          <w:b/>
          <w:color w:val="78350F"/>
        </w:rPr>
        <w:t xml:space="preserve">Stepwells — Water Table Access: </w:t>
      </w:r>
      <w:r>
        <w:t>Large baolis (stepwells) that tapped the water table through stepped gallery systems, enabling water access even during dry-season drawdown.</w:t>
      </w:r>
    </w:p>
    <w:p>
      <w:pPr>
        <w:pStyle w:val="ListBullet"/>
        <w:spacing w:after="80" w:line="276" w:lineRule="auto"/>
      </w:pPr>
      <w:r>
        <w:rPr>
          <w:b/>
          <w:color w:val="78350F"/>
        </w:rPr>
        <w:t xml:space="preserve">Surface Tanks &amp; Lakes: </w:t>
      </w:r>
      <w:r>
        <w:t>Surface tanks and lakes that collected monsoon runoff from the surrounding hills and plateau, retained by earthen and stone embankments.</w:t>
      </w:r>
    </w:p>
    <w:p>
      <w:pPr>
        <w:pStyle w:val="ListBullet"/>
        <w:spacing w:after="80" w:line="276" w:lineRule="auto"/>
      </w:pPr>
      <w:r>
        <w:rPr>
          <w:b/>
          <w:color w:val="78350F"/>
        </w:rPr>
        <w:t xml:space="preserve">Fort Cisterns — Siege Resilience: </w:t>
      </w:r>
      <w:r>
        <w:t>Rock-cut cisterns within the fort that stored rainwater for garrison use independent of the town's water supply.</w:t>
      </w:r>
    </w:p>
    <w:p>
      <w:pPr>
        <w:pStyle w:val="ListBullet"/>
        <w:spacing w:after="80" w:line="276" w:lineRule="auto"/>
      </w:pPr>
      <w:r>
        <w:rPr>
          <w:b/>
          <w:color w:val="78350F"/>
        </w:rPr>
        <w:t xml:space="preserve">Hillside Drainage Channels: </w:t>
      </w:r>
      <w:r>
        <w:t>Stone-paved channels on hillsides that directed rainfall runoff toward tanks and stepwells rather than allowing it to erode the hillside and drain away.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