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16. Hindu Heritage of Chanderi</w:t>
      </w:r>
    </w:p>
    <w:p>
      <w:pPr>
        <w:spacing w:before="280" w:after="120"/>
      </w:pPr>
      <w:r>
        <w:rPr>
          <w:rFonts w:ascii="Arial" w:hAnsi="Arial"/>
          <w:b/>
          <w:color w:val="6D28D9"/>
          <w:sz w:val="30"/>
        </w:rPr>
        <w:t>1. Overview of Hindu Religious Heritage</w:t>
      </w:r>
    </w:p>
    <w:p>
      <w:pPr>
        <w:spacing w:after="120" w:line="276" w:lineRule="auto"/>
      </w:pPr>
      <w:r>
        <w:rPr>
          <w:i w:val="0"/>
        </w:rPr>
        <w:t>Chanderi's Hindu heritage comprises a rich array of temples, sacred water bodies, and devotional traditions spanning multiple centuries. Hindu temples at Chanderi reflect both the ancient regional styles of Central India and the architectural influences of successive ruling powers — Chandela, Malwa Sultanate (as patrons of existing temples), Mughal, and Bundela periods [Source: CHA-S001, CHA-S004].</w:t>
      </w:r>
    </w:p>
    <w:p>
      <w:pPr>
        <w:spacing w:before="200" w:after="80"/>
      </w:pPr>
      <w:r>
        <w:rPr>
          <w:rFonts w:ascii="Arial" w:hAnsi="Arial"/>
          <w:b/>
          <w:color w:val="78350F"/>
          <w:sz w:val="26"/>
        </w:rPr>
        <w:t>2. Key Hindu Temples &amp; Sacred Sites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6D28D9"/>
          </w:tcPr>
          <w:p>
            <w:pPr>
              <w:spacing w:after="40"/>
              <w:jc w:val="left"/>
            </w:pPr>
            <w:r>
              <w:rPr>
                <w:rFonts w:ascii="Arial" w:hAnsi="Arial"/>
                <w:b/>
                <w:color w:val="FFFFFF"/>
                <w:sz w:val="19"/>
              </w:rPr>
              <w:t>Site Name</w:t>
            </w:r>
          </w:p>
        </w:tc>
        <w:tc>
          <w:tcPr>
            <w:tcW w:type="dxa" w:w="2160"/>
            <w:shd w:fill="6D28D9"/>
          </w:tcPr>
          <w:p>
            <w:pPr>
              <w:spacing w:after="40"/>
              <w:jc w:val="left"/>
            </w:pPr>
            <w:r>
              <w:rPr>
                <w:rFonts w:ascii="Arial" w:hAnsi="Arial"/>
                <w:b/>
                <w:color w:val="FFFFFF"/>
                <w:sz w:val="19"/>
              </w:rPr>
              <w:t>Deity / Tradition</w:t>
            </w:r>
          </w:p>
        </w:tc>
        <w:tc>
          <w:tcPr>
            <w:tcW w:type="dxa" w:w="2160"/>
            <w:shd w:fill="6D28D9"/>
          </w:tcPr>
          <w:p>
            <w:pPr>
              <w:spacing w:after="40"/>
              <w:jc w:val="left"/>
            </w:pPr>
            <w:r>
              <w:rPr>
                <w:rFonts w:ascii="Arial" w:hAnsi="Arial"/>
                <w:b/>
                <w:color w:val="FFFFFF"/>
                <w:sz w:val="19"/>
              </w:rPr>
              <w:t>Period</w:t>
            </w:r>
          </w:p>
        </w:tc>
        <w:tc>
          <w:tcPr>
            <w:tcW w:type="dxa" w:w="2592"/>
            <w:shd w:fill="6D28D9"/>
          </w:tcPr>
          <w:p>
            <w:pPr>
              <w:spacing w:after="40"/>
              <w:jc w:val="left"/>
            </w:pPr>
            <w:r>
              <w:rPr>
                <w:rFonts w:ascii="Arial" w:hAnsi="Arial"/>
                <w:b/>
                <w:color w:val="FFFFFF"/>
                <w:sz w:val="19"/>
              </w:rPr>
              <w:t>Architectural Style</w:t>
            </w:r>
          </w:p>
        </w:tc>
        <w:tc>
          <w:tcPr>
            <w:tcW w:type="dxa" w:w="2160"/>
            <w:shd w:fill="6D28D9"/>
          </w:tcPr>
          <w:p>
            <w:pPr>
              <w:spacing w:after="40"/>
              <w:jc w:val="left"/>
            </w:pPr>
            <w:r>
              <w:rPr>
                <w:rFonts w:ascii="Arial" w:hAnsi="Arial"/>
                <w:b/>
                <w:color w:val="FFFFFF"/>
                <w:sz w:val="19"/>
              </w:rPr>
              <w:t>Location</w:t>
            </w:r>
          </w:p>
        </w:tc>
        <w:tc>
          <w:tcPr>
            <w:tcW w:type="dxa" w:w="2592"/>
            <w:shd w:fill="6D28D9"/>
          </w:tcPr>
          <w:p>
            <w:pPr>
              <w:spacing w:after="40"/>
              <w:jc w:val="left"/>
            </w:pPr>
            <w:r>
              <w:rPr>
                <w:rFonts w:ascii="Arial" w:hAnsi="Arial"/>
                <w:b/>
                <w:color w:val="FFFFFF"/>
                <w:sz w:val="19"/>
              </w:rPr>
              <w:t>Living Significance</w:t>
            </w:r>
          </w:p>
        </w:tc>
        <w:tc>
          <w:tcPr>
            <w:tcW w:type="dxa" w:w="1728"/>
            <w:shd w:fill="6D28D9"/>
          </w:tcPr>
          <w:p>
            <w:pPr>
              <w:spacing w:after="40"/>
              <w:jc w:val="left"/>
            </w:pPr>
            <w:r>
              <w:rPr>
                <w:rFonts w:ascii="Arial" w:hAnsi="Arial"/>
                <w:b/>
                <w:color w:val="FFFFFF"/>
                <w:sz w:val="19"/>
              </w:rPr>
              <w:t>Condition</w:t>
            </w:r>
          </w:p>
        </w:tc>
        <w:tc>
          <w:tcPr>
            <w:tcW w:type="dxa" w:w="1152"/>
            <w:shd w:fill="6D28D9"/>
          </w:tcPr>
          <w:p>
            <w:pPr>
              <w:spacing w:after="40"/>
              <w:jc w:val="left"/>
            </w:pPr>
            <w:r>
              <w:rPr>
                <w:rFonts w:ascii="Arial" w:hAnsi="Arial"/>
                <w:b/>
                <w:color w:val="FFFFFF"/>
                <w:sz w:val="19"/>
              </w:rPr>
              <w:t>Source</w:t>
            </w:r>
          </w:p>
        </w:tc>
      </w:tr>
      <w:tr>
        <w:tc>
          <w:tcPr>
            <w:tcW w:type="dxa" w:w="2592"/>
            <w:shd w:fill="FFFFFF"/>
          </w:tcPr>
          <w:p>
            <w:pPr>
              <w:spacing w:after="40"/>
            </w:pPr>
            <w:r>
              <w:rPr>
                <w:sz w:val="18"/>
              </w:rPr>
              <w:t>Jaganeshwar (Jageshwara) Temple</w:t>
            </w:r>
          </w:p>
        </w:tc>
        <w:tc>
          <w:tcPr>
            <w:tcW w:type="dxa" w:w="2160"/>
            <w:shd w:fill="FFFFFF"/>
          </w:tcPr>
          <w:p>
            <w:pPr>
              <w:spacing w:after="40"/>
            </w:pPr>
            <w:r>
              <w:rPr>
                <w:sz w:val="18"/>
              </w:rPr>
              <w:t>Shiva (Jageshwara form)</w:t>
            </w:r>
          </w:p>
        </w:tc>
        <w:tc>
          <w:tcPr>
            <w:tcW w:type="dxa" w:w="2160"/>
            <w:shd w:fill="FFFFFF"/>
          </w:tcPr>
          <w:p>
            <w:pPr>
              <w:spacing w:after="40"/>
            </w:pPr>
            <w:r>
              <w:rPr>
                <w:sz w:val="18"/>
              </w:rPr>
              <w:t>Medieval (exact dating requires survey)</w:t>
            </w:r>
          </w:p>
        </w:tc>
        <w:tc>
          <w:tcPr>
            <w:tcW w:type="dxa" w:w="2592"/>
            <w:shd w:fill="FFFFFF"/>
          </w:tcPr>
          <w:p>
            <w:pPr>
              <w:spacing w:after="40"/>
            </w:pPr>
            <w:r>
              <w:rPr>
                <w:sz w:val="18"/>
              </w:rPr>
              <w:t>Central Indian Shiva temple tradition</w:t>
            </w:r>
          </w:p>
        </w:tc>
        <w:tc>
          <w:tcPr>
            <w:tcW w:type="dxa" w:w="2160"/>
            <w:shd w:fill="FFFFFF"/>
          </w:tcPr>
          <w:p>
            <w:pPr>
              <w:spacing w:after="40"/>
            </w:pPr>
            <w:r>
              <w:rPr>
                <w:sz w:val="18"/>
              </w:rPr>
              <w:t>Near Jaganeshwar Lake</w:t>
            </w:r>
          </w:p>
        </w:tc>
        <w:tc>
          <w:tcPr>
            <w:tcW w:type="dxa" w:w="2592"/>
            <w:shd w:fill="FFFFFF"/>
          </w:tcPr>
          <w:p>
            <w:pPr>
              <w:spacing w:after="40"/>
            </w:pPr>
            <w:r>
              <w:rPr>
                <w:sz w:val="18"/>
              </w:rPr>
              <w:t>Active temple; important for Shiva devotees in Chanderi</w:t>
            </w:r>
          </w:p>
        </w:tc>
        <w:tc>
          <w:tcPr>
            <w:tcW w:type="dxa" w:w="1728"/>
            <w:shd w:fill="FFFFFF"/>
          </w:tcPr>
          <w:p>
            <w:pPr>
              <w:spacing w:after="40"/>
            </w:pPr>
            <w:r>
              <w:rPr>
                <w:sz w:val="18"/>
              </w:rPr>
              <w:t>Active; requires conservation study</w:t>
            </w:r>
          </w:p>
        </w:tc>
        <w:tc>
          <w:tcPr>
            <w:tcW w:type="dxa" w:w="1152"/>
            <w:shd w:fill="FFFFFF"/>
          </w:tcPr>
          <w:p>
            <w:pPr>
              <w:spacing w:after="40"/>
            </w:pPr>
            <w:r>
              <w:rPr>
                <w:sz w:val="18"/>
              </w:rPr>
              <w:t>CHA-S001</w:t>
            </w:r>
          </w:p>
        </w:tc>
      </w:tr>
      <w:tr>
        <w:tc>
          <w:tcPr>
            <w:tcW w:type="dxa" w:w="2592"/>
            <w:shd w:fill="F5F3FF"/>
          </w:tcPr>
          <w:p>
            <w:pPr>
              <w:spacing w:after="40"/>
            </w:pPr>
            <w:r>
              <w:rPr>
                <w:sz w:val="18"/>
              </w:rPr>
              <w:t>Ram Mandir</w:t>
            </w:r>
          </w:p>
        </w:tc>
        <w:tc>
          <w:tcPr>
            <w:tcW w:type="dxa" w:w="2160"/>
            <w:shd w:fill="F5F3FF"/>
          </w:tcPr>
          <w:p>
            <w:pPr>
              <w:spacing w:after="40"/>
            </w:pPr>
            <w:r>
              <w:rPr>
                <w:sz w:val="18"/>
              </w:rPr>
              <w:t>Rama</w:t>
            </w:r>
          </w:p>
        </w:tc>
        <w:tc>
          <w:tcPr>
            <w:tcW w:type="dxa" w:w="2160"/>
            <w:shd w:fill="F5F3FF"/>
          </w:tcPr>
          <w:p>
            <w:pPr>
              <w:spacing w:after="40"/>
            </w:pPr>
            <w:r>
              <w:rPr>
                <w:sz w:val="18"/>
              </w:rPr>
              <w:t>Post-medieval / Bundela period</w:t>
            </w:r>
          </w:p>
        </w:tc>
        <w:tc>
          <w:tcPr>
            <w:tcW w:type="dxa" w:w="2592"/>
            <w:shd w:fill="F5F3FF"/>
          </w:tcPr>
          <w:p>
            <w:pPr>
              <w:spacing w:after="40"/>
            </w:pPr>
            <w:r>
              <w:rPr>
                <w:sz w:val="18"/>
              </w:rPr>
              <w:t>North Indian temple tradition</w:t>
            </w:r>
          </w:p>
        </w:tc>
        <w:tc>
          <w:tcPr>
            <w:tcW w:type="dxa" w:w="2160"/>
            <w:shd w:fill="F5F3FF"/>
          </w:tcPr>
          <w:p>
            <w:pPr>
              <w:spacing w:after="40"/>
            </w:pPr>
            <w:r>
              <w:rPr>
                <w:sz w:val="18"/>
              </w:rPr>
              <w:t>Historic town</w:t>
            </w:r>
          </w:p>
        </w:tc>
        <w:tc>
          <w:tcPr>
            <w:tcW w:type="dxa" w:w="2592"/>
            <w:shd w:fill="F5F3FF"/>
          </w:tcPr>
          <w:p>
            <w:pPr>
              <w:spacing w:after="40"/>
            </w:pPr>
            <w:r>
              <w:rPr>
                <w:sz w:val="18"/>
              </w:rPr>
              <w:t>Active place of worship</w:t>
            </w:r>
          </w:p>
        </w:tc>
        <w:tc>
          <w:tcPr>
            <w:tcW w:type="dxa" w:w="1728"/>
            <w:shd w:fill="F5F3FF"/>
          </w:tcPr>
          <w:p>
            <w:pPr>
              <w:spacing w:after="40"/>
            </w:pPr>
            <w:r>
              <w:rPr>
                <w:sz w:val="18"/>
              </w:rPr>
              <w:t>Active</w:t>
            </w:r>
          </w:p>
        </w:tc>
        <w:tc>
          <w:tcPr>
            <w:tcW w:type="dxa" w:w="1152"/>
            <w:shd w:fill="F5F3FF"/>
          </w:tcPr>
          <w:p>
            <w:pPr>
              <w:spacing w:after="40"/>
            </w:pPr>
            <w:r>
              <w:rPr>
                <w:sz w:val="18"/>
              </w:rPr>
              <w:t>CHA-S004</w:t>
            </w:r>
          </w:p>
        </w:tc>
      </w:tr>
      <w:tr>
        <w:tc>
          <w:tcPr>
            <w:tcW w:type="dxa" w:w="2592"/>
            <w:shd w:fill="FFFFFF"/>
          </w:tcPr>
          <w:p>
            <w:pPr>
              <w:spacing w:after="40"/>
            </w:pPr>
            <w:r>
              <w:rPr>
                <w:sz w:val="18"/>
              </w:rPr>
              <w:t>Temples near Kanchan Sagar</w:t>
            </w:r>
          </w:p>
        </w:tc>
        <w:tc>
          <w:tcPr>
            <w:tcW w:type="dxa" w:w="2160"/>
            <w:shd w:fill="FFFFFF"/>
          </w:tcPr>
          <w:p>
            <w:pPr>
              <w:spacing w:after="40"/>
            </w:pPr>
            <w:r>
              <w:rPr>
                <w:sz w:val="18"/>
              </w:rPr>
              <w:t>Various Hindu deities</w:t>
            </w:r>
          </w:p>
        </w:tc>
        <w:tc>
          <w:tcPr>
            <w:tcW w:type="dxa" w:w="2160"/>
            <w:shd w:fill="FFFFFF"/>
          </w:tcPr>
          <w:p>
            <w:pPr>
              <w:spacing w:after="40"/>
            </w:pPr>
            <w:r>
              <w:rPr>
                <w:sz w:val="18"/>
              </w:rPr>
              <w:t>Multiple periods</w:t>
            </w:r>
          </w:p>
        </w:tc>
        <w:tc>
          <w:tcPr>
            <w:tcW w:type="dxa" w:w="2592"/>
            <w:shd w:fill="FFFFFF"/>
          </w:tcPr>
          <w:p>
            <w:pPr>
              <w:spacing w:after="40"/>
            </w:pPr>
            <w:r>
              <w:rPr>
                <w:sz w:val="18"/>
              </w:rPr>
              <w:t>Central Indian style</w:t>
            </w:r>
          </w:p>
        </w:tc>
        <w:tc>
          <w:tcPr>
            <w:tcW w:type="dxa" w:w="2160"/>
            <w:shd w:fill="FFFFFF"/>
          </w:tcPr>
          <w:p>
            <w:pPr>
              <w:spacing w:after="40"/>
            </w:pPr>
            <w:r>
              <w:rPr>
                <w:sz w:val="18"/>
              </w:rPr>
              <w:t>Lake shore ghats</w:t>
            </w:r>
          </w:p>
        </w:tc>
        <w:tc>
          <w:tcPr>
            <w:tcW w:type="dxa" w:w="2592"/>
            <w:shd w:fill="FFFFFF"/>
          </w:tcPr>
          <w:p>
            <w:pPr>
              <w:spacing w:after="40"/>
            </w:pPr>
            <w:r>
              <w:rPr>
                <w:sz w:val="18"/>
              </w:rPr>
              <w:t>Active; lakeside ritual importance</w:t>
            </w:r>
          </w:p>
        </w:tc>
        <w:tc>
          <w:tcPr>
            <w:tcW w:type="dxa" w:w="1728"/>
            <w:shd w:fill="FFFFFF"/>
          </w:tcPr>
          <w:p>
            <w:pPr>
              <w:spacing w:after="40"/>
            </w:pPr>
            <w:r>
              <w:rPr>
                <w:sz w:val="18"/>
              </w:rPr>
              <w:t>Variable</w:t>
            </w:r>
          </w:p>
        </w:tc>
        <w:tc>
          <w:tcPr>
            <w:tcW w:type="dxa" w:w="1152"/>
            <w:shd w:fill="FFFFFF"/>
          </w:tcPr>
          <w:p>
            <w:pPr>
              <w:spacing w:after="40"/>
            </w:pPr>
            <w:r>
              <w:rPr>
                <w:sz w:val="18"/>
              </w:rPr>
              <w:t>CHA-S001</w:t>
            </w:r>
          </w:p>
        </w:tc>
      </w:tr>
      <w:tr>
        <w:tc>
          <w:tcPr>
            <w:tcW w:type="dxa" w:w="2592"/>
            <w:shd w:fill="F5F3FF"/>
          </w:tcPr>
          <w:p>
            <w:pPr>
              <w:spacing w:after="40"/>
            </w:pPr>
            <w:r>
              <w:rPr>
                <w:sz w:val="18"/>
              </w:rPr>
              <w:t>Rock-cut shrines on fort hill</w:t>
            </w:r>
          </w:p>
        </w:tc>
        <w:tc>
          <w:tcPr>
            <w:tcW w:type="dxa" w:w="2160"/>
            <w:shd w:fill="F5F3FF"/>
          </w:tcPr>
          <w:p>
            <w:pPr>
              <w:spacing w:after="40"/>
            </w:pPr>
            <w:r>
              <w:rPr>
                <w:sz w:val="18"/>
              </w:rPr>
              <w:t>Various (Shiva, Devi)</w:t>
            </w:r>
          </w:p>
        </w:tc>
        <w:tc>
          <w:tcPr>
            <w:tcW w:type="dxa" w:w="2160"/>
            <w:shd w:fill="F5F3FF"/>
          </w:tcPr>
          <w:p>
            <w:pPr>
              <w:spacing w:after="40"/>
            </w:pPr>
            <w:r>
              <w:rPr>
                <w:sz w:val="18"/>
              </w:rPr>
              <w:t>Early medieval onwards</w:t>
            </w:r>
          </w:p>
        </w:tc>
        <w:tc>
          <w:tcPr>
            <w:tcW w:type="dxa" w:w="2592"/>
            <w:shd w:fill="F5F3FF"/>
          </w:tcPr>
          <w:p>
            <w:pPr>
              <w:spacing w:after="40"/>
            </w:pPr>
            <w:r>
              <w:rPr>
                <w:sz w:val="18"/>
              </w:rPr>
              <w:t>Rock-cut; simple shrines</w:t>
            </w:r>
          </w:p>
        </w:tc>
        <w:tc>
          <w:tcPr>
            <w:tcW w:type="dxa" w:w="2160"/>
            <w:shd w:fill="F5F3FF"/>
          </w:tcPr>
          <w:p>
            <w:pPr>
              <w:spacing w:after="40"/>
            </w:pPr>
            <w:r>
              <w:rPr>
                <w:sz w:val="18"/>
              </w:rPr>
              <w:t>Fort hill slopes</w:t>
            </w:r>
          </w:p>
        </w:tc>
        <w:tc>
          <w:tcPr>
            <w:tcW w:type="dxa" w:w="2592"/>
            <w:shd w:fill="F5F3FF"/>
          </w:tcPr>
          <w:p>
            <w:pPr>
              <w:spacing w:after="40"/>
            </w:pPr>
            <w:r>
              <w:rPr>
                <w:sz w:val="18"/>
              </w:rPr>
              <w:t>Some active; some abandoned</w:t>
            </w:r>
          </w:p>
        </w:tc>
        <w:tc>
          <w:tcPr>
            <w:tcW w:type="dxa" w:w="1728"/>
            <w:shd w:fill="F5F3FF"/>
          </w:tcPr>
          <w:p>
            <w:pPr>
              <w:spacing w:after="40"/>
            </w:pPr>
            <w:r>
              <w:rPr>
                <w:sz w:val="18"/>
              </w:rPr>
              <w:t>Requires survey</w:t>
            </w:r>
          </w:p>
        </w:tc>
        <w:tc>
          <w:tcPr>
            <w:tcW w:type="dxa" w:w="1152"/>
            <w:shd w:fill="F5F3FF"/>
          </w:tcPr>
          <w:p>
            <w:pPr>
              <w:spacing w:after="40"/>
            </w:pPr>
            <w:r>
              <w:rPr>
                <w:sz w:val="18"/>
              </w:rPr>
              <w:t>CHA-S001</w:t>
            </w:r>
          </w:p>
        </w:tc>
      </w:tr>
    </w:tbl>
    <w:p>
      <w:pPr>
        <w:spacing w:after="120"/>
      </w:pPr>
    </w:p>
    <w:p>
      <w:pPr>
        <w:spacing w:before="200" w:after="80"/>
      </w:pPr>
      <w:r>
        <w:rPr>
          <w:rFonts w:ascii="Arial" w:hAnsi="Arial"/>
          <w:b/>
          <w:color w:val="78350F"/>
          <w:sz w:val="26"/>
        </w:rPr>
        <w:t>3. Hindu Festivals at Chanderi</w:t>
      </w:r>
    </w:p>
    <w:p>
      <w:pPr>
        <w:pStyle w:val="ListBullet"/>
        <w:spacing w:after="80" w:line="276" w:lineRule="auto"/>
      </w:pPr>
      <w:r>
        <w:rPr>
          <w:b/>
          <w:color w:val="78350F"/>
        </w:rPr>
        <w:t xml:space="preserve">Maha Shivaratri: </w:t>
      </w:r>
      <w:r>
        <w:t>Maha Shivaratri — Major celebration at Jaganeshwar temple; large local attendance. One of the most important Hindu festivals in Chanderi's annual religious calendar.</w:t>
      </w:r>
    </w:p>
    <w:p>
      <w:pPr>
        <w:pStyle w:val="ListBullet"/>
        <w:spacing w:after="80" w:line="276" w:lineRule="auto"/>
      </w:pPr>
      <w:r>
        <w:rPr>
          <w:b/>
          <w:color w:val="78350F"/>
        </w:rPr>
        <w:t xml:space="preserve">Navratri: </w:t>
      </w:r>
      <w:r>
        <w:t>Navratri — Nine-night festival celebrating the goddess; celebrated with community gatherings at Devi shrines in and around the town.</w:t>
      </w:r>
    </w:p>
    <w:p>
      <w:pPr>
        <w:pStyle w:val="ListBullet"/>
        <w:spacing w:after="80" w:line="276" w:lineRule="auto"/>
      </w:pPr>
      <w:r>
        <w:rPr>
          <w:b/>
          <w:color w:val="78350F"/>
        </w:rPr>
        <w:t xml:space="preserve">Kanchan Sagar Festivals: </w:t>
      </w:r>
      <w:r>
        <w:t>Kanchan Sagar festivals — Seasonal festivals at the lake's ghats combining religious ritual with community gathering; specific festival dates tied to Hindu lunar calendar.</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[LIVING TRADITION vs HISTORICAL RECORD]</w:t>
              <w:br/>
            </w:r>
            <w:r>
              <w:rPr>
                <w:sz w:val="19"/>
              </w:rPr>
              <w:t>Hindu religious practices at Chanderi are living traditions. This section documents active worship as of available published sources. Do not conflate modern practices with historical reconstruction of medieval Hindu temple ritual at Chanderi, for which specific evidence is limited.</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