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17. Jain Heritage of Chanderi</w:t>
      </w:r>
    </w:p>
    <w:p>
      <w:pPr>
        <w:spacing w:before="280" w:after="120"/>
      </w:pPr>
      <w:r>
        <w:rPr>
          <w:rFonts w:ascii="Arial" w:hAnsi="Arial"/>
          <w:b/>
          <w:color w:val="6D28D9"/>
          <w:sz w:val="30"/>
        </w:rPr>
        <w:t>1. Chanderi's Jain Tradition</w:t>
      </w:r>
    </w:p>
    <w:p>
      <w:pPr>
        <w:spacing w:after="120" w:line="276" w:lineRule="auto"/>
      </w:pPr>
      <w:r>
        <w:rPr>
          <w:i w:val="0"/>
        </w:rPr>
        <w:t>Chanderi has a historically significant Jain heritage, with Jain temples, sculptures, and a continuing Jain community forming a notable part of the town's religious landscape. Jain sculptural traditions at Chanderi display features suggesting early medieval origins, and the Jain community has historically been associated with the town's merchant and textile-trading economy [Source: CHA-S001, CHA-S004].</w:t>
      </w:r>
    </w:p>
    <w:p>
      <w:pPr>
        <w:spacing w:before="200" w:after="80"/>
      </w:pPr>
      <w:r>
        <w:rPr>
          <w:rFonts w:ascii="Arial" w:hAnsi="Arial"/>
          <w:b/>
          <w:color w:val="78350F"/>
          <w:sz w:val="26"/>
        </w:rPr>
        <w:t>2. Jain Temple Inventory</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880"/>
            <w:shd w:fill="6D28D9"/>
          </w:tcPr>
          <w:p>
            <w:pPr>
              <w:spacing w:after="40"/>
              <w:jc w:val="left"/>
            </w:pPr>
            <w:r>
              <w:rPr>
                <w:rFonts w:ascii="Arial" w:hAnsi="Arial"/>
                <w:b/>
                <w:color w:val="FFFFFF"/>
                <w:sz w:val="19"/>
              </w:rPr>
              <w:t>Temple / Site</w:t>
            </w:r>
          </w:p>
        </w:tc>
        <w:tc>
          <w:tcPr>
            <w:tcW w:type="dxa" w:w="2592"/>
            <w:shd w:fill="6D28D9"/>
          </w:tcPr>
          <w:p>
            <w:pPr>
              <w:spacing w:after="40"/>
              <w:jc w:val="left"/>
            </w:pPr>
            <w:r>
              <w:rPr>
                <w:rFonts w:ascii="Arial" w:hAnsi="Arial"/>
                <w:b/>
                <w:color w:val="FFFFFF"/>
                <w:sz w:val="19"/>
              </w:rPr>
              <w:t>Deity (Tirthankara)</w:t>
            </w:r>
          </w:p>
        </w:tc>
        <w:tc>
          <w:tcPr>
            <w:tcW w:type="dxa" w:w="2160"/>
            <w:shd w:fill="6D28D9"/>
          </w:tcPr>
          <w:p>
            <w:pPr>
              <w:spacing w:after="40"/>
              <w:jc w:val="left"/>
            </w:pPr>
            <w:r>
              <w:rPr>
                <w:rFonts w:ascii="Arial" w:hAnsi="Arial"/>
                <w:b/>
                <w:color w:val="FFFFFF"/>
                <w:sz w:val="19"/>
              </w:rPr>
              <w:t>Period</w:t>
            </w:r>
          </w:p>
        </w:tc>
        <w:tc>
          <w:tcPr>
            <w:tcW w:type="dxa" w:w="2880"/>
            <w:shd w:fill="6D28D9"/>
          </w:tcPr>
          <w:p>
            <w:pPr>
              <w:spacing w:after="40"/>
              <w:jc w:val="left"/>
            </w:pPr>
            <w:r>
              <w:rPr>
                <w:rFonts w:ascii="Arial" w:hAnsi="Arial"/>
                <w:b/>
                <w:color w:val="FFFFFF"/>
                <w:sz w:val="19"/>
              </w:rPr>
              <w:t>Architectural Features</w:t>
            </w:r>
          </w:p>
        </w:tc>
        <w:tc>
          <w:tcPr>
            <w:tcW w:type="dxa" w:w="2160"/>
            <w:shd w:fill="6D28D9"/>
          </w:tcPr>
          <w:p>
            <w:pPr>
              <w:spacing w:after="40"/>
              <w:jc w:val="left"/>
            </w:pPr>
            <w:r>
              <w:rPr>
                <w:rFonts w:ascii="Arial" w:hAnsi="Arial"/>
                <w:b/>
                <w:color w:val="FFFFFF"/>
                <w:sz w:val="19"/>
              </w:rPr>
              <w:t>Location</w:t>
            </w:r>
          </w:p>
        </w:tc>
        <w:tc>
          <w:tcPr>
            <w:tcW w:type="dxa" w:w="1296"/>
            <w:shd w:fill="6D28D9"/>
          </w:tcPr>
          <w:p>
            <w:pPr>
              <w:spacing w:after="40"/>
              <w:jc w:val="left"/>
            </w:pPr>
            <w:r>
              <w:rPr>
                <w:rFonts w:ascii="Arial" w:hAnsi="Arial"/>
                <w:b/>
                <w:color w:val="FFFFFF"/>
                <w:sz w:val="19"/>
              </w:rPr>
              <w:t>Active?</w:t>
            </w:r>
          </w:p>
        </w:tc>
        <w:tc>
          <w:tcPr>
            <w:tcW w:type="dxa" w:w="1152"/>
            <w:shd w:fill="6D28D9"/>
          </w:tcPr>
          <w:p>
            <w:pPr>
              <w:spacing w:after="40"/>
              <w:jc w:val="left"/>
            </w:pPr>
            <w:r>
              <w:rPr>
                <w:rFonts w:ascii="Arial" w:hAnsi="Arial"/>
                <w:b/>
                <w:color w:val="FFFFFF"/>
                <w:sz w:val="19"/>
              </w:rPr>
              <w:t>Source</w:t>
            </w:r>
          </w:p>
        </w:tc>
      </w:tr>
      <w:tr>
        <w:tc>
          <w:tcPr>
            <w:tcW w:type="dxa" w:w="2880"/>
            <w:shd w:fill="FFFFFF"/>
          </w:tcPr>
          <w:p>
            <w:pPr>
              <w:spacing w:after="40"/>
            </w:pPr>
            <w:r>
              <w:rPr>
                <w:sz w:val="18"/>
              </w:rPr>
              <w:t>Chanderi Jain Temple Complex</w:t>
            </w:r>
          </w:p>
        </w:tc>
        <w:tc>
          <w:tcPr>
            <w:tcW w:type="dxa" w:w="2592"/>
            <w:shd w:fill="FFFFFF"/>
          </w:tcPr>
          <w:p>
            <w:pPr>
              <w:spacing w:after="40"/>
            </w:pPr>
            <w:r>
              <w:rPr>
                <w:sz w:val="18"/>
              </w:rPr>
              <w:t>Multiple Tirthankaras</w:t>
            </w:r>
          </w:p>
        </w:tc>
        <w:tc>
          <w:tcPr>
            <w:tcW w:type="dxa" w:w="2160"/>
            <w:shd w:fill="FFFFFF"/>
          </w:tcPr>
          <w:p>
            <w:pPr>
              <w:spacing w:after="40"/>
            </w:pPr>
            <w:r>
              <w:rPr>
                <w:sz w:val="18"/>
              </w:rPr>
              <w:t>Early medieval to modern (multiple phases)</w:t>
            </w:r>
          </w:p>
        </w:tc>
        <w:tc>
          <w:tcPr>
            <w:tcW w:type="dxa" w:w="2880"/>
            <w:shd w:fill="FFFFFF"/>
          </w:tcPr>
          <w:p>
            <w:pPr>
              <w:spacing w:after="40"/>
            </w:pPr>
            <w:r>
              <w:rPr>
                <w:sz w:val="18"/>
              </w:rPr>
              <w:t>Multi-shrine complex; carved pillars; marble and stone sculptures</w:t>
            </w:r>
          </w:p>
        </w:tc>
        <w:tc>
          <w:tcPr>
            <w:tcW w:type="dxa" w:w="2160"/>
            <w:shd w:fill="FFFFFF"/>
          </w:tcPr>
          <w:p>
            <w:pPr>
              <w:spacing w:after="40"/>
            </w:pPr>
            <w:r>
              <w:rPr>
                <w:sz w:val="18"/>
              </w:rPr>
              <w:t>Jain quarter of historic town</w:t>
            </w:r>
          </w:p>
        </w:tc>
        <w:tc>
          <w:tcPr>
            <w:tcW w:type="dxa" w:w="1296"/>
            <w:shd w:fill="FFFFFF"/>
          </w:tcPr>
          <w:p>
            <w:pPr>
              <w:spacing w:after="40"/>
            </w:pPr>
            <w:r>
              <w:rPr>
                <w:sz w:val="18"/>
              </w:rPr>
              <w:t>YES — active worship</w:t>
            </w:r>
          </w:p>
        </w:tc>
        <w:tc>
          <w:tcPr>
            <w:tcW w:type="dxa" w:w="1152"/>
            <w:shd w:fill="FFFFFF"/>
          </w:tcPr>
          <w:p>
            <w:pPr>
              <w:spacing w:after="40"/>
            </w:pPr>
            <w:r>
              <w:rPr>
                <w:sz w:val="18"/>
              </w:rPr>
              <w:t>CHA-S001, CHA-S004</w:t>
            </w:r>
          </w:p>
        </w:tc>
      </w:tr>
      <w:tr>
        <w:tc>
          <w:tcPr>
            <w:tcW w:type="dxa" w:w="2880"/>
            <w:shd w:fill="F5F3FF"/>
          </w:tcPr>
          <w:p>
            <w:pPr>
              <w:spacing w:after="40"/>
            </w:pPr>
            <w:r>
              <w:rPr>
                <w:sz w:val="18"/>
              </w:rPr>
              <w:t>Jain Temples near Koshak Mahal area</w:t>
            </w:r>
          </w:p>
        </w:tc>
        <w:tc>
          <w:tcPr>
            <w:tcW w:type="dxa" w:w="2592"/>
            <w:shd w:fill="F5F3FF"/>
          </w:tcPr>
          <w:p>
            <w:pPr>
              <w:spacing w:after="40"/>
            </w:pPr>
            <w:r>
              <w:rPr>
                <w:sz w:val="18"/>
              </w:rPr>
              <w:t>Adinatha / Parshvanatha</w:t>
            </w:r>
          </w:p>
        </w:tc>
        <w:tc>
          <w:tcPr>
            <w:tcW w:type="dxa" w:w="2160"/>
            <w:shd w:fill="F5F3FF"/>
          </w:tcPr>
          <w:p>
            <w:pPr>
              <w:spacing w:after="40"/>
            </w:pPr>
            <w:r>
              <w:rPr>
                <w:sz w:val="18"/>
              </w:rPr>
              <w:t>Medieval</w:t>
            </w:r>
          </w:p>
        </w:tc>
        <w:tc>
          <w:tcPr>
            <w:tcW w:type="dxa" w:w="2880"/>
            <w:shd w:fill="F5F3FF"/>
          </w:tcPr>
          <w:p>
            <w:pPr>
              <w:spacing w:after="40"/>
            </w:pPr>
            <w:r>
              <w:rPr>
                <w:sz w:val="18"/>
              </w:rPr>
              <w:t>Carved stone facades; typical Central Indian Jain style</w:t>
            </w:r>
          </w:p>
        </w:tc>
        <w:tc>
          <w:tcPr>
            <w:tcW w:type="dxa" w:w="2160"/>
            <w:shd w:fill="F5F3FF"/>
          </w:tcPr>
          <w:p>
            <w:pPr>
              <w:spacing w:after="40"/>
            </w:pPr>
            <w:r>
              <w:rPr>
                <w:sz w:val="18"/>
              </w:rPr>
              <w:t>Town centre area</w:t>
            </w:r>
          </w:p>
        </w:tc>
        <w:tc>
          <w:tcPr>
            <w:tcW w:type="dxa" w:w="1296"/>
            <w:shd w:fill="F5F3FF"/>
          </w:tcPr>
          <w:p>
            <w:pPr>
              <w:spacing w:after="40"/>
            </w:pPr>
            <w:r>
              <w:rPr>
                <w:sz w:val="18"/>
              </w:rPr>
              <w:t>SOME active</w:t>
            </w:r>
          </w:p>
        </w:tc>
        <w:tc>
          <w:tcPr>
            <w:tcW w:type="dxa" w:w="1152"/>
            <w:shd w:fill="F5F3FF"/>
          </w:tcPr>
          <w:p>
            <w:pPr>
              <w:spacing w:after="40"/>
            </w:pPr>
            <w:r>
              <w:rPr>
                <w:sz w:val="18"/>
              </w:rPr>
              <w:t>CHA-S001</w:t>
            </w:r>
          </w:p>
        </w:tc>
      </w:tr>
      <w:tr>
        <w:tc>
          <w:tcPr>
            <w:tcW w:type="dxa" w:w="2880"/>
            <w:shd w:fill="FFFFFF"/>
          </w:tcPr>
          <w:p>
            <w:pPr>
              <w:spacing w:after="40"/>
            </w:pPr>
            <w:r>
              <w:rPr>
                <w:sz w:val="18"/>
              </w:rPr>
              <w:t>Jain Rock-cut Sculptures</w:t>
            </w:r>
          </w:p>
        </w:tc>
        <w:tc>
          <w:tcPr>
            <w:tcW w:type="dxa" w:w="2592"/>
            <w:shd w:fill="FFFFFF"/>
          </w:tcPr>
          <w:p>
            <w:pPr>
              <w:spacing w:after="40"/>
            </w:pPr>
            <w:r>
              <w:rPr>
                <w:sz w:val="18"/>
              </w:rPr>
              <w:t>Various Tirthankaras</w:t>
            </w:r>
          </w:p>
        </w:tc>
        <w:tc>
          <w:tcPr>
            <w:tcW w:type="dxa" w:w="2160"/>
            <w:shd w:fill="FFFFFF"/>
          </w:tcPr>
          <w:p>
            <w:pPr>
              <w:spacing w:after="40"/>
            </w:pPr>
            <w:r>
              <w:rPr>
                <w:sz w:val="18"/>
              </w:rPr>
              <w:t>Early medieval (8th–12th CE?)</w:t>
            </w:r>
          </w:p>
        </w:tc>
        <w:tc>
          <w:tcPr>
            <w:tcW w:type="dxa" w:w="2880"/>
            <w:shd w:fill="FFFFFF"/>
          </w:tcPr>
          <w:p>
            <w:pPr>
              <w:spacing w:after="40"/>
            </w:pPr>
            <w:r>
              <w:rPr>
                <w:sz w:val="18"/>
              </w:rPr>
              <w:t>Rock-cut images in niches; characteristic Jain iconography</w:t>
            </w:r>
          </w:p>
        </w:tc>
        <w:tc>
          <w:tcPr>
            <w:tcW w:type="dxa" w:w="2160"/>
            <w:shd w:fill="FFFFFF"/>
          </w:tcPr>
          <w:p>
            <w:pPr>
              <w:spacing w:after="40"/>
            </w:pPr>
            <w:r>
              <w:rPr>
                <w:sz w:val="18"/>
              </w:rPr>
              <w:t>Various locations on hill slopes</w:t>
            </w:r>
          </w:p>
        </w:tc>
        <w:tc>
          <w:tcPr>
            <w:tcW w:type="dxa" w:w="1296"/>
            <w:shd w:fill="FFFFFF"/>
          </w:tcPr>
          <w:p>
            <w:pPr>
              <w:spacing w:after="40"/>
            </w:pPr>
            <w:r>
              <w:rPr>
                <w:sz w:val="18"/>
              </w:rPr>
              <w:t>Sites of pilgrimage</w:t>
            </w:r>
          </w:p>
        </w:tc>
        <w:tc>
          <w:tcPr>
            <w:tcW w:type="dxa" w:w="1152"/>
            <w:shd w:fill="FFFFFF"/>
          </w:tcPr>
          <w:p>
            <w:pPr>
              <w:spacing w:after="40"/>
            </w:pPr>
            <w:r>
              <w:rPr>
                <w:sz w:val="18"/>
              </w:rPr>
              <w:t>CHA-S001, CHA-S011</w:t>
            </w:r>
          </w:p>
        </w:tc>
      </w:tr>
    </w:tbl>
    <w:p>
      <w:pPr>
        <w:spacing w:after="120"/>
      </w:pPr>
    </w:p>
    <w:p>
      <w:pPr>
        <w:spacing w:before="200" w:after="80"/>
      </w:pPr>
      <w:r>
        <w:rPr>
          <w:rFonts w:ascii="Arial" w:hAnsi="Arial"/>
          <w:b/>
          <w:color w:val="78350F"/>
          <w:sz w:val="26"/>
        </w:rPr>
        <w:t>3. Jain Iconography at Chanderi</w:t>
      </w:r>
    </w:p>
    <w:p>
      <w:pPr>
        <w:spacing w:after="120" w:line="276" w:lineRule="auto"/>
      </w:pPr>
      <w:r>
        <w:rPr>
          <w:i w:val="0"/>
        </w:rPr>
        <w:t>Jain sculptures at Chanderi follow the established Central Indian Jain iconographic tradition:</w:t>
      </w:r>
    </w:p>
    <w:p>
      <w:pPr>
        <w:pStyle w:val="ListBullet"/>
        <w:spacing w:after="80" w:line="276" w:lineRule="auto"/>
      </w:pPr>
      <w:r>
        <w:rPr>
          <w:b/>
          <w:color w:val="78350F"/>
        </w:rPr>
        <w:t xml:space="preserve">Tirthankara Postures: </w:t>
      </w:r>
      <w:r>
        <w:t>Tirthankara figures in kayotsarga (standing meditation) and padmasana (seated meditation) postures — the two canonical Jain sculptural forms.</w:t>
      </w:r>
    </w:p>
    <w:p>
      <w:pPr>
        <w:pStyle w:val="ListBullet"/>
        <w:spacing w:after="80" w:line="276" w:lineRule="auto"/>
      </w:pPr>
      <w:r>
        <w:rPr>
          <w:b/>
          <w:color w:val="78350F"/>
        </w:rPr>
        <w:t xml:space="preserve">Identifying Symbols: </w:t>
      </w:r>
      <w:r>
        <w:t>Lanchanas (identifying symbols) at the feet of Tirthankara figures enabling identification of specific Jinas (e.g., bull for Rishabhanatha/Adinatha, snake for Parshvanatha).</w:t>
      </w:r>
    </w:p>
    <w:p>
      <w:pPr>
        <w:pStyle w:val="ListBullet"/>
        <w:spacing w:after="80" w:line="276" w:lineRule="auto"/>
      </w:pPr>
      <w:r>
        <w:rPr>
          <w:b/>
          <w:color w:val="78350F"/>
        </w:rPr>
        <w:t xml:space="preserve">Attendant Figures: </w:t>
      </w:r>
      <w:r>
        <w:t>Attendant figures (yaksha and yakshi pairs), flywhisk bearers, and devotional figures in subsidiary registers of multi-figure compositions.</w:t>
      </w:r>
    </w:p>
    <w:p>
      <w:pPr>
        <w:spacing w:before="200" w:after="80"/>
      </w:pPr>
      <w:r>
        <w:rPr>
          <w:rFonts w:ascii="Arial" w:hAnsi="Arial"/>
          <w:b/>
          <w:color w:val="78350F"/>
          <w:sz w:val="26"/>
        </w:rPr>
        <w:t>4. Jain Community and Living Heritage</w:t>
      </w:r>
    </w:p>
    <w:p>
      <w:pPr>
        <w:spacing w:after="120" w:line="276" w:lineRule="auto"/>
      </w:pPr>
      <w:r>
        <w:rPr>
          <w:i w:val="0"/>
        </w:rPr>
        <w:t>The Jain community of Chanderi has historically been associated with the town's commercial economy — particularly textile trading, money-changing, and merchant activity. This community pattern — Jains as merchants / traders in a textile town — is consistent with the broader role of Jain communities in many historic Indian commercial towns. The Jain community continues to maintain temples and sponsor religious activities in present-day Chanderi [Source: CHA-S004].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