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18. Islamic &amp; Sufi Heritage of Chanderi</w:t>
      </w:r>
    </w:p>
    <w:p>
      <w:pPr>
        <w:spacing w:before="280" w:after="120"/>
      </w:pPr>
      <w:r>
        <w:rPr>
          <w:rFonts w:ascii="Arial" w:hAnsi="Arial"/>
          <w:b/>
          <w:color w:val="6D28D9"/>
          <w:sz w:val="30"/>
        </w:rPr>
        <w:t>1. Overview of Islamic Heritage</w:t>
      </w:r>
    </w:p>
    <w:p>
      <w:pPr>
        <w:spacing w:after="120" w:line="276" w:lineRule="auto"/>
      </w:pPr>
      <w:r>
        <w:rPr>
          <w:i w:val="0"/>
        </w:rPr>
        <w:t>Chanderi's Islamic architectural heritage dates primarily from the Malwa Sultanate period (c. 15th–early 16th century CE) and reflects the distinctive Malwa Sultanate architectural style — a blend of Persian, Central Asian, and indigenous Indian architectural forms. The town's mosques, tombs, and dargahs are important monuments of medieval Central Indian Islamic architecture [Source: CHA-S001, CHA-S011].</w:t>
      </w:r>
    </w:p>
    <w:p>
      <w:pPr>
        <w:spacing w:before="200" w:after="80"/>
      </w:pPr>
      <w:r>
        <w:rPr>
          <w:rFonts w:ascii="Arial" w:hAnsi="Arial"/>
          <w:b/>
          <w:color w:val="78350F"/>
          <w:sz w:val="26"/>
        </w:rPr>
        <w:t>2. Jama Masjid (Friday Mosque)</w:t>
      </w:r>
    </w:p>
    <w:p>
      <w:pPr>
        <w:spacing w:after="120" w:line="276" w:lineRule="auto"/>
      </w:pPr>
      <w:r>
        <w:rPr>
          <w:i w:val="0"/>
        </w:rPr>
        <w:t>The Jama Masjid of Chanderi is the most important Islamic monument in the town and one of the finest surviving examples of Malwa Sultanate mosque architecture.</w:t>
      </w:r>
    </w:p>
    <w:p>
      <w:pPr>
        <w:pStyle w:val="ListBullet"/>
        <w:spacing w:after="80" w:line="276" w:lineRule="auto"/>
      </w:pPr>
      <w:r>
        <w:rPr>
          <w:b/>
          <w:color w:val="78350F"/>
        </w:rPr>
        <w:t xml:space="preserve">Function &amp; Significance: </w:t>
      </w:r>
      <w:r>
        <w:t>The Jama Masjid is a large congregational mosque designed for the Friday prayer assembly of the entire Muslim community of the town. It is among the most architecturally significant Malwa Sultanate mosques.</w:t>
      </w:r>
    </w:p>
    <w:p>
      <w:pPr>
        <w:pStyle w:val="ListBullet"/>
        <w:spacing w:after="80" w:line="276" w:lineRule="auto"/>
      </w:pPr>
      <w:r>
        <w:rPr>
          <w:b/>
          <w:color w:val="78350F"/>
        </w:rPr>
        <w:t xml:space="preserve">Architectural Description: </w:t>
      </w:r>
      <w:r>
        <w:t>The mosque features a broad prayer hall (hypostyle hall) covered by multiple shallow domes; a central arched facade with an emphasized central bay; a colonnaded courtyard; and a mihrab (prayer niche) oriented toward Mecca.</w:t>
      </w:r>
    </w:p>
    <w:p>
      <w:pPr>
        <w:pStyle w:val="ListBullet"/>
        <w:spacing w:after="80" w:line="276" w:lineRule="auto"/>
      </w:pPr>
      <w:r>
        <w:rPr>
          <w:b/>
          <w:color w:val="78350F"/>
        </w:rPr>
        <w:t xml:space="preserve">Materials &amp; Style: </w:t>
      </w:r>
      <w:r>
        <w:t>Construction in dressed local sandstone; pointed multi-foil arches characteristic of Malwa Sultanate style; geometric decorative carving on surfaces.</w:t>
      </w:r>
    </w:p>
    <w:p>
      <w:pPr>
        <w:pStyle w:val="ListBullet"/>
        <w:spacing w:after="80" w:line="276" w:lineRule="auto"/>
      </w:pPr>
      <w:r>
        <w:rPr>
          <w:b/>
          <w:color w:val="78350F"/>
        </w:rPr>
        <w:t xml:space="preserve">Attribution: </w:t>
      </w:r>
      <w:r>
        <w:t>Attribution to the Malwa Sultanate period is architecturally well-supported. Specific patron (sultan) requires inscriptional confirmation. [Source: CHA-S001, CHA-S011]</w:t>
      </w:r>
    </w:p>
    <w:p>
      <w:pPr>
        <w:pStyle w:val="ListBullet"/>
        <w:spacing w:after="80" w:line="276" w:lineRule="auto"/>
      </w:pPr>
      <w:r>
        <w:rPr>
          <w:b/>
          <w:color w:val="78350F"/>
        </w:rPr>
        <w:t xml:space="preserve">Living Use: </w:t>
      </w:r>
      <w:r>
        <w:t>The Jama Masjid continues as an active mosque and place of congregational worship for Chanderi's Muslim community.</w:t>
      </w:r>
    </w:p>
    <w:p>
      <w:pPr>
        <w:spacing w:before="200" w:after="80"/>
      </w:pPr>
      <w:r>
        <w:rPr>
          <w:rFonts w:ascii="Arial" w:hAnsi="Arial"/>
          <w:b/>
          <w:color w:val="78350F"/>
          <w:sz w:val="26"/>
        </w:rPr>
        <w:t>3. Tombs &amp; Mausolea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880"/>
            <w:shd w:fill="6D28D9"/>
          </w:tcPr>
          <w:p>
            <w:pPr>
              <w:spacing w:after="40"/>
              <w:jc w:val="left"/>
            </w:pPr>
            <w:r>
              <w:rPr>
                <w:rFonts w:ascii="Arial" w:hAnsi="Arial"/>
                <w:b/>
                <w:color w:val="FFFFFF"/>
                <w:sz w:val="19"/>
              </w:rPr>
              <w:t>Monument</w:t>
            </w:r>
          </w:p>
        </w:tc>
        <w:tc>
          <w:tcPr>
            <w:tcW w:type="dxa" w:w="1872"/>
            <w:shd w:fill="6D28D9"/>
          </w:tcPr>
          <w:p>
            <w:pPr>
              <w:spacing w:after="40"/>
              <w:jc w:val="left"/>
            </w:pPr>
            <w:r>
              <w:rPr>
                <w:rFonts w:ascii="Arial" w:hAnsi="Arial"/>
                <w:b/>
                <w:color w:val="FFFFFF"/>
                <w:sz w:val="19"/>
              </w:rPr>
              <w:t>Period</w:t>
            </w:r>
          </w:p>
        </w:tc>
        <w:tc>
          <w:tcPr>
            <w:tcW w:type="dxa" w:w="2880"/>
            <w:shd w:fill="6D28D9"/>
          </w:tcPr>
          <w:p>
            <w:pPr>
              <w:spacing w:after="40"/>
              <w:jc w:val="left"/>
            </w:pPr>
            <w:r>
              <w:rPr>
                <w:rFonts w:ascii="Arial" w:hAnsi="Arial"/>
                <w:b/>
                <w:color w:val="FFFFFF"/>
                <w:sz w:val="19"/>
              </w:rPr>
              <w:t>Style</w:t>
            </w:r>
          </w:p>
        </w:tc>
        <w:tc>
          <w:tcPr>
            <w:tcW w:type="dxa" w:w="1872"/>
            <w:shd w:fill="6D28D9"/>
          </w:tcPr>
          <w:p>
            <w:pPr>
              <w:spacing w:after="40"/>
              <w:jc w:val="left"/>
            </w:pPr>
            <w:r>
              <w:rPr>
                <w:rFonts w:ascii="Arial" w:hAnsi="Arial"/>
                <w:b/>
                <w:color w:val="FFFFFF"/>
                <w:sz w:val="19"/>
              </w:rPr>
              <w:t>Location</w:t>
            </w:r>
          </w:p>
        </w:tc>
        <w:tc>
          <w:tcPr>
            <w:tcW w:type="dxa" w:w="2592"/>
            <w:shd w:fill="6D28D9"/>
          </w:tcPr>
          <w:p>
            <w:pPr>
              <w:spacing w:after="40"/>
              <w:jc w:val="left"/>
            </w:pPr>
            <w:r>
              <w:rPr>
                <w:rFonts w:ascii="Arial" w:hAnsi="Arial"/>
                <w:b/>
                <w:color w:val="FFFFFF"/>
                <w:sz w:val="19"/>
              </w:rPr>
              <w:t>Attribution</w:t>
            </w:r>
          </w:p>
        </w:tc>
        <w:tc>
          <w:tcPr>
            <w:tcW w:type="dxa" w:w="1872"/>
            <w:shd w:fill="6D28D9"/>
          </w:tcPr>
          <w:p>
            <w:pPr>
              <w:spacing w:after="40"/>
              <w:jc w:val="left"/>
            </w:pPr>
            <w:r>
              <w:rPr>
                <w:rFonts w:ascii="Arial" w:hAnsi="Arial"/>
                <w:b/>
                <w:color w:val="FFFFFF"/>
                <w:sz w:val="19"/>
              </w:rPr>
              <w:t>Condition</w:t>
            </w:r>
          </w:p>
        </w:tc>
        <w:tc>
          <w:tcPr>
            <w:tcW w:type="dxa" w:w="1152"/>
            <w:shd w:fill="6D28D9"/>
          </w:tcPr>
          <w:p>
            <w:pPr>
              <w:spacing w:after="40"/>
              <w:jc w:val="left"/>
            </w:pPr>
            <w:r>
              <w:rPr>
                <w:rFonts w:ascii="Arial" w:hAnsi="Arial"/>
                <w:b/>
                <w:color w:val="FFFFFF"/>
                <w:sz w:val="19"/>
              </w:rPr>
              <w:t>Source</w:t>
            </w:r>
          </w:p>
        </w:tc>
      </w:tr>
      <w:tr>
        <w:tc>
          <w:tcPr>
            <w:tcW w:type="dxa" w:w="2880"/>
            <w:shd w:fill="FFFFFF"/>
          </w:tcPr>
          <w:p>
            <w:pPr>
              <w:spacing w:after="40"/>
            </w:pPr>
            <w:r>
              <w:rPr>
                <w:sz w:val="18"/>
              </w:rPr>
              <w:t>Shehzadi ka Rauza</w:t>
            </w:r>
          </w:p>
        </w:tc>
        <w:tc>
          <w:tcPr>
            <w:tcW w:type="dxa" w:w="1872"/>
            <w:shd w:fill="FFFFFF"/>
          </w:tcPr>
          <w:p>
            <w:pPr>
              <w:spacing w:after="40"/>
            </w:pPr>
            <w:r>
              <w:rPr>
                <w:sz w:val="18"/>
              </w:rPr>
              <w:t>Mughal period</w:t>
            </w:r>
          </w:p>
        </w:tc>
        <w:tc>
          <w:tcPr>
            <w:tcW w:type="dxa" w:w="2880"/>
            <w:shd w:fill="FFFFFF"/>
          </w:tcPr>
          <w:p>
            <w:pPr>
              <w:spacing w:after="40"/>
            </w:pPr>
            <w:r>
              <w:rPr>
                <w:sz w:val="18"/>
              </w:rPr>
              <w:t>Mughal tomb style; octagonal plan</w:t>
            </w:r>
          </w:p>
        </w:tc>
        <w:tc>
          <w:tcPr>
            <w:tcW w:type="dxa" w:w="1872"/>
            <w:shd w:fill="FFFFFF"/>
          </w:tcPr>
          <w:p>
            <w:pPr>
              <w:spacing w:after="40"/>
            </w:pPr>
            <w:r>
              <w:rPr>
                <w:sz w:val="18"/>
              </w:rPr>
              <w:t>Town area</w:t>
            </w:r>
          </w:p>
        </w:tc>
        <w:tc>
          <w:tcPr>
            <w:tcW w:type="dxa" w:w="2592"/>
            <w:shd w:fill="FFFFFF"/>
          </w:tcPr>
          <w:p>
            <w:pPr>
              <w:spacing w:after="40"/>
            </w:pPr>
            <w:r>
              <w:rPr>
                <w:sz w:val="18"/>
              </w:rPr>
              <w:t>Unknown (possibly royal female)</w:t>
            </w:r>
          </w:p>
        </w:tc>
        <w:tc>
          <w:tcPr>
            <w:tcW w:type="dxa" w:w="1872"/>
            <w:shd w:fill="FFFFFF"/>
          </w:tcPr>
          <w:p>
            <w:pPr>
              <w:spacing w:after="40"/>
            </w:pPr>
            <w:r>
              <w:rPr>
                <w:sz w:val="18"/>
              </w:rPr>
              <w:t>Standing; some deterioration</w:t>
            </w:r>
          </w:p>
        </w:tc>
        <w:tc>
          <w:tcPr>
            <w:tcW w:type="dxa" w:w="1152"/>
            <w:shd w:fill="FFFFFF"/>
          </w:tcPr>
          <w:p>
            <w:pPr>
              <w:spacing w:after="40"/>
            </w:pPr>
            <w:r>
              <w:rPr>
                <w:sz w:val="18"/>
              </w:rPr>
              <w:t>CHA-S001</w:t>
            </w:r>
          </w:p>
        </w:tc>
      </w:tr>
      <w:tr>
        <w:tc>
          <w:tcPr>
            <w:tcW w:type="dxa" w:w="2880"/>
            <w:shd w:fill="F5F3FF"/>
          </w:tcPr>
          <w:p>
            <w:pPr>
              <w:spacing w:after="40"/>
            </w:pPr>
            <w:r>
              <w:rPr>
                <w:sz w:val="18"/>
              </w:rPr>
              <w:t>Historic Dargah (documented)</w:t>
            </w:r>
          </w:p>
        </w:tc>
        <w:tc>
          <w:tcPr>
            <w:tcW w:type="dxa" w:w="1872"/>
            <w:shd w:fill="F5F3FF"/>
          </w:tcPr>
          <w:p>
            <w:pPr>
              <w:spacing w:after="40"/>
            </w:pPr>
            <w:r>
              <w:rPr>
                <w:sz w:val="18"/>
              </w:rPr>
              <w:t>Medieval to later</w:t>
            </w:r>
          </w:p>
        </w:tc>
        <w:tc>
          <w:tcPr>
            <w:tcW w:type="dxa" w:w="2880"/>
            <w:shd w:fill="F5F3FF"/>
          </w:tcPr>
          <w:p>
            <w:pPr>
              <w:spacing w:after="40"/>
            </w:pPr>
            <w:r>
              <w:rPr>
                <w:sz w:val="18"/>
              </w:rPr>
              <w:t>Simple structure; shrine tradition</w:t>
            </w:r>
          </w:p>
        </w:tc>
        <w:tc>
          <w:tcPr>
            <w:tcW w:type="dxa" w:w="1872"/>
            <w:shd w:fill="F5F3FF"/>
          </w:tcPr>
          <w:p>
            <w:pPr>
              <w:spacing w:after="40"/>
            </w:pPr>
            <w:r>
              <w:rPr>
                <w:sz w:val="18"/>
              </w:rPr>
              <w:t>Town area</w:t>
            </w:r>
          </w:p>
        </w:tc>
        <w:tc>
          <w:tcPr>
            <w:tcW w:type="dxa" w:w="2592"/>
            <w:shd w:fill="F5F3FF"/>
          </w:tcPr>
          <w:p>
            <w:pPr>
              <w:spacing w:after="40"/>
            </w:pPr>
            <w:r>
              <w:rPr>
                <w:sz w:val="18"/>
              </w:rPr>
              <w:t>Sufi saint (name requires verification)</w:t>
            </w:r>
          </w:p>
        </w:tc>
        <w:tc>
          <w:tcPr>
            <w:tcW w:type="dxa" w:w="1872"/>
            <w:shd w:fill="F5F3FF"/>
          </w:tcPr>
          <w:p>
            <w:pPr>
              <w:spacing w:after="40"/>
            </w:pPr>
            <w:r>
              <w:rPr>
                <w:sz w:val="18"/>
              </w:rPr>
              <w:t>Active pilgrimage site</w:t>
            </w:r>
          </w:p>
        </w:tc>
        <w:tc>
          <w:tcPr>
            <w:tcW w:type="dxa" w:w="1152"/>
            <w:shd w:fill="F5F3FF"/>
          </w:tcPr>
          <w:p>
            <w:pPr>
              <w:spacing w:after="40"/>
            </w:pPr>
            <w:r>
              <w:rPr>
                <w:sz w:val="18"/>
              </w:rPr>
              <w:t>CHA-S004</w:t>
            </w:r>
          </w:p>
        </w:tc>
      </w:tr>
      <w:tr>
        <w:tc>
          <w:tcPr>
            <w:tcW w:type="dxa" w:w="2880"/>
            <w:shd w:fill="FFFFFF"/>
          </w:tcPr>
          <w:p>
            <w:pPr>
              <w:spacing w:after="40"/>
            </w:pPr>
            <w:r>
              <w:rPr>
                <w:sz w:val="18"/>
              </w:rPr>
              <w:t>Tombs near Jama Masjid</w:t>
            </w:r>
          </w:p>
        </w:tc>
        <w:tc>
          <w:tcPr>
            <w:tcW w:type="dxa" w:w="1872"/>
            <w:shd w:fill="FFFFFF"/>
          </w:tcPr>
          <w:p>
            <w:pPr>
              <w:spacing w:after="40"/>
            </w:pPr>
            <w:r>
              <w:rPr>
                <w:sz w:val="18"/>
              </w:rPr>
              <w:t>Malwa Sultanate–Mughal</w:t>
            </w:r>
          </w:p>
        </w:tc>
        <w:tc>
          <w:tcPr>
            <w:tcW w:type="dxa" w:w="2880"/>
            <w:shd w:fill="FFFFFF"/>
          </w:tcPr>
          <w:p>
            <w:pPr>
              <w:spacing w:after="40"/>
            </w:pPr>
            <w:r>
              <w:rPr>
                <w:sz w:val="18"/>
              </w:rPr>
              <w:t>Malwa / early Mughal</w:t>
            </w:r>
          </w:p>
        </w:tc>
        <w:tc>
          <w:tcPr>
            <w:tcW w:type="dxa" w:w="1872"/>
            <w:shd w:fill="FFFFFF"/>
          </w:tcPr>
          <w:p>
            <w:pPr>
              <w:spacing w:after="40"/>
            </w:pPr>
            <w:r>
              <w:rPr>
                <w:sz w:val="18"/>
              </w:rPr>
              <w:t>Near mosque complex</w:t>
            </w:r>
          </w:p>
        </w:tc>
        <w:tc>
          <w:tcPr>
            <w:tcW w:type="dxa" w:w="2592"/>
            <w:shd w:fill="FFFFFF"/>
          </w:tcPr>
          <w:p>
            <w:pPr>
              <w:spacing w:after="40"/>
            </w:pPr>
            <w:r>
              <w:rPr>
                <w:sz w:val="18"/>
              </w:rPr>
              <w:t>Various — requires inscriptional survey</w:t>
            </w:r>
          </w:p>
        </w:tc>
        <w:tc>
          <w:tcPr>
            <w:tcW w:type="dxa" w:w="1872"/>
            <w:shd w:fill="FFFFFF"/>
          </w:tcPr>
          <w:p>
            <w:pPr>
              <w:spacing w:after="40"/>
            </w:pPr>
            <w:r>
              <w:rPr>
                <w:sz w:val="18"/>
              </w:rPr>
              <w:t>Variable</w:t>
            </w:r>
          </w:p>
        </w:tc>
        <w:tc>
          <w:tcPr>
            <w:tcW w:type="dxa" w:w="1152"/>
            <w:shd w:fill="FFFFFF"/>
          </w:tcPr>
          <w:p>
            <w:pPr>
              <w:spacing w:after="40"/>
            </w:pPr>
            <w:r>
              <w:rPr>
                <w:sz w:val="18"/>
              </w:rPr>
              <w:t>CHA-S001</w:t>
            </w:r>
          </w:p>
        </w:tc>
      </w:tr>
    </w:tbl>
    <w:p>
      <w:pPr>
        <w:spacing w:after="120"/>
      </w:pPr>
    </w:p>
    <w:p>
      <w:pPr>
        <w:spacing w:before="200" w:after="80"/>
      </w:pPr>
      <w:r>
        <w:rPr>
          <w:rFonts w:ascii="Arial" w:hAnsi="Arial"/>
          <w:b/>
          <w:color w:val="78350F"/>
          <w:sz w:val="26"/>
        </w:rPr>
        <w:t>4. Sufi Traditions</w:t>
      </w:r>
    </w:p>
    <w:p>
      <w:pPr>
        <w:spacing w:after="120" w:line="276" w:lineRule="auto"/>
      </w:pPr>
      <w:r>
        <w:rPr>
          <w:i w:val="0"/>
        </w:rPr>
        <w:t>Sufi presence in Chanderi is associated with the town's Islamic heritage during the Malwa Sultanate and Mughal periods. Sufi dargahs (shrines of Sufi saints) in Chanderi serve as points of inter-community devotion — visited by both Muslim and Hindu devotees in the syncretic tradition common to many Central Indian historic towns. Specific Sufi lineages and saints associated with Chanderi require further archival research for precise documentation [Source: CHA-S004].</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[CULTURAL SENSITIVITY: ISLAMIC HERITAGE]</w:t>
              <w:br/>
            </w:r>
            <w:r>
              <w:rPr>
                <w:sz w:val="19"/>
              </w:rPr>
              <w:t>Islamic heritage at Chanderi must be presented factually and respectfully. The Malwa Sultanate was a sophisticated patronage state that produced significant architectural heritage. This heritage belongs to India's pluralistic cultural patrimony and should not be instrumentalized for political narratives of any kind.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