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25. Textile Motifs &amp; Design Database</w:t>
      </w:r>
    </w:p>
    <w:p>
      <w:pPr>
        <w:spacing w:before="280" w:after="120"/>
      </w:pPr>
      <w:r>
        <w:rPr>
          <w:rFonts w:ascii="Arial" w:hAnsi="Arial"/>
          <w:b/>
          <w:color w:val="6D28D9"/>
          <w:sz w:val="30"/>
        </w:rPr>
        <w:t>1. Introduction to Chanderi Motif Traditions</w:t>
      </w:r>
    </w:p>
    <w:p>
      <w:pPr>
        <w:spacing w:after="120" w:line="276" w:lineRule="auto"/>
      </w:pPr>
      <w:r>
        <w:rPr>
          <w:i w:val="0"/>
        </w:rPr>
        <w:t>Chanderi textiles are distinguished by their characteristic woven motifs — small geometric and nature-inspired designs interlaced into the fabric structure during weaving rather than applied afterwards through embroidery or printing. The motif vocabulary of Chanderi reflects multiple cultural influences: Mughal Persian naturalistic florals, local Central Indian folk design traditions, and Jain geometric patterns [Source: CHA-S005, CHA-S012].</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[MOTIF MEANINGS: DOCUMENTATION STANDARD]</w:t>
              <w:br/>
            </w:r>
            <w:r>
              <w:rPr>
                <w:sz w:val="19"/>
              </w:rPr>
              <w:t>Symbolic meanings attributed to motifs in craft promotion materials are often post-hoc interpretations rather than documented historical meanings. This database records motif descriptions and their observable characteristics. Symbolic meanings are noted only where documented in reliable sources, otherwise labeled as TRADITION or NOT DOCUMENTED.</w:t>
            </w:r>
          </w:p>
        </w:tc>
      </w:tr>
    </w:tbl>
    <w:p>
      <w:pPr>
        <w:spacing w:after="80"/>
      </w:pPr>
    </w:p>
    <w:p>
      <w:pPr>
        <w:spacing w:before="200" w:after="80"/>
      </w:pPr>
      <w:r>
        <w:rPr>
          <w:rFonts w:ascii="Arial" w:hAnsi="Arial"/>
          <w:b/>
          <w:color w:val="78350F"/>
          <w:sz w:val="26"/>
        </w:rPr>
        <w:t>2. Motif Database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6D28D9"/>
          </w:tcPr>
          <w:p>
            <w:pPr>
              <w:spacing w:after="40"/>
              <w:jc w:val="left"/>
            </w:pPr>
            <w:r>
              <w:rPr>
                <w:rFonts w:ascii="Arial" w:hAnsi="Arial"/>
                <w:b/>
                <w:color w:val="FFFFFF"/>
                <w:sz w:val="19"/>
              </w:rPr>
              <w:t>Motif Name</w:t>
            </w:r>
          </w:p>
        </w:tc>
        <w:tc>
          <w:tcPr>
            <w:tcW w:type="dxa" w:w="1872"/>
            <w:shd w:fill="6D28D9"/>
          </w:tcPr>
          <w:p>
            <w:pPr>
              <w:spacing w:after="40"/>
              <w:jc w:val="left"/>
            </w:pPr>
            <w:r>
              <w:rPr>
                <w:rFonts w:ascii="Arial" w:hAnsi="Arial"/>
                <w:b/>
                <w:color w:val="FFFFFF"/>
                <w:sz w:val="19"/>
              </w:rPr>
              <w:t>Category</w:t>
            </w:r>
          </w:p>
        </w:tc>
        <w:tc>
          <w:tcPr>
            <w:tcW w:type="dxa" w:w="2880"/>
            <w:shd w:fill="6D28D9"/>
          </w:tcPr>
          <w:p>
            <w:pPr>
              <w:spacing w:after="40"/>
              <w:jc w:val="left"/>
            </w:pPr>
            <w:r>
              <w:rPr>
                <w:rFonts w:ascii="Arial" w:hAnsi="Arial"/>
                <w:b/>
                <w:color w:val="FFFFFF"/>
                <w:sz w:val="19"/>
              </w:rPr>
              <w:t>Description</w:t>
            </w:r>
          </w:p>
        </w:tc>
        <w:tc>
          <w:tcPr>
            <w:tcW w:type="dxa" w:w="2592"/>
            <w:shd w:fill="6D28D9"/>
          </w:tcPr>
          <w:p>
            <w:pPr>
              <w:spacing w:after="40"/>
              <w:jc w:val="left"/>
            </w:pPr>
            <w:r>
              <w:rPr>
                <w:rFonts w:ascii="Arial" w:hAnsi="Arial"/>
                <w:b/>
                <w:color w:val="FFFFFF"/>
                <w:sz w:val="19"/>
              </w:rPr>
              <w:t>Symbolic Meaning (if documented)</w:t>
            </w:r>
          </w:p>
        </w:tc>
        <w:tc>
          <w:tcPr>
            <w:tcW w:type="dxa" w:w="2160"/>
            <w:shd w:fill="6D28D9"/>
          </w:tcPr>
          <w:p>
            <w:pPr>
              <w:spacing w:after="40"/>
              <w:jc w:val="left"/>
            </w:pPr>
            <w:r>
              <w:rPr>
                <w:rFonts w:ascii="Arial" w:hAnsi="Arial"/>
                <w:b/>
                <w:color w:val="FFFFFF"/>
                <w:sz w:val="19"/>
              </w:rPr>
              <w:t>Period/Influence</w:t>
            </w:r>
          </w:p>
        </w:tc>
        <w:tc>
          <w:tcPr>
            <w:tcW w:type="dxa" w:w="1872"/>
            <w:shd w:fill="6D28D9"/>
          </w:tcPr>
          <w:p>
            <w:pPr>
              <w:spacing w:after="40"/>
              <w:jc w:val="left"/>
            </w:pPr>
            <w:r>
              <w:rPr>
                <w:rFonts w:ascii="Arial" w:hAnsi="Arial"/>
                <w:b/>
                <w:color w:val="FFFFFF"/>
                <w:sz w:val="19"/>
              </w:rPr>
              <w:t>Application</w:t>
            </w:r>
          </w:p>
        </w:tc>
        <w:tc>
          <w:tcPr>
            <w:tcW w:type="dxa" w:w="1152"/>
            <w:shd w:fill="6D28D9"/>
          </w:tcPr>
          <w:p>
            <w:pPr>
              <w:spacing w:after="40"/>
              <w:jc w:val="left"/>
            </w:pPr>
            <w:r>
              <w:rPr>
                <w:rFonts w:ascii="Arial" w:hAnsi="Arial"/>
                <w:b/>
                <w:color w:val="FFFFFF"/>
                <w:sz w:val="19"/>
              </w:rPr>
              <w:t>Source</w:t>
            </w:r>
          </w:p>
        </w:tc>
      </w:tr>
      <w:tr>
        <w:tc>
          <w:tcPr>
            <w:tcW w:type="dxa" w:w="2160"/>
            <w:shd w:fill="FFFFFF"/>
          </w:tcPr>
          <w:p>
            <w:pPr>
              <w:spacing w:after="40"/>
            </w:pPr>
            <w:r>
              <w:rPr>
                <w:sz w:val="18"/>
              </w:rPr>
              <w:t>Buti / Buta</w:t>
            </w:r>
          </w:p>
        </w:tc>
        <w:tc>
          <w:tcPr>
            <w:tcW w:type="dxa" w:w="1872"/>
            <w:shd w:fill="FFFFFF"/>
          </w:tcPr>
          <w:p>
            <w:pPr>
              <w:spacing w:after="40"/>
            </w:pPr>
            <w:r>
              <w:rPr>
                <w:sz w:val="18"/>
              </w:rPr>
              <w:t>Floral-geometric</w:t>
            </w:r>
          </w:p>
        </w:tc>
        <w:tc>
          <w:tcPr>
            <w:tcW w:type="dxa" w:w="2880"/>
            <w:shd w:fill="FFFFFF"/>
          </w:tcPr>
          <w:p>
            <w:pPr>
              <w:spacing w:after="40"/>
            </w:pPr>
            <w:r>
              <w:rPr>
                <w:sz w:val="18"/>
              </w:rPr>
              <w:t>Small isolated motif unit (flower, leaf, or geometric shape) repeated across the fabric body.</w:t>
            </w:r>
          </w:p>
        </w:tc>
        <w:tc>
          <w:tcPr>
            <w:tcW w:type="dxa" w:w="2592"/>
            <w:shd w:fill="FFFFFF"/>
          </w:tcPr>
          <w:p>
            <w:pPr>
              <w:spacing w:after="40"/>
            </w:pPr>
            <w:r>
              <w:rPr>
                <w:sz w:val="18"/>
              </w:rPr>
              <w:t>Not specifically documented for Chanderi. General Indian textile tradition.</w:t>
            </w:r>
          </w:p>
        </w:tc>
        <w:tc>
          <w:tcPr>
            <w:tcW w:type="dxa" w:w="2160"/>
            <w:shd w:fill="FFFFFF"/>
          </w:tcPr>
          <w:p>
            <w:pPr>
              <w:spacing w:after="40"/>
            </w:pPr>
            <w:r>
              <w:rPr>
                <w:sz w:val="18"/>
              </w:rPr>
              <w:t>Mughal-Persian influence; widely used.</w:t>
            </w:r>
          </w:p>
        </w:tc>
        <w:tc>
          <w:tcPr>
            <w:tcW w:type="dxa" w:w="1872"/>
            <w:shd w:fill="FFFFFF"/>
          </w:tcPr>
          <w:p>
            <w:pPr>
              <w:spacing w:after="40"/>
            </w:pPr>
            <w:r>
              <w:rPr>
                <w:sz w:val="18"/>
              </w:rPr>
              <w:t>Fabric body (scattered repeat pattern).</w:t>
            </w:r>
          </w:p>
        </w:tc>
        <w:tc>
          <w:tcPr>
            <w:tcW w:type="dxa" w:w="1152"/>
            <w:shd w:fill="FFFFFF"/>
          </w:tcPr>
          <w:p>
            <w:pPr>
              <w:spacing w:after="40"/>
            </w:pPr>
            <w:r>
              <w:rPr>
                <w:sz w:val="18"/>
              </w:rPr>
              <w:t>CHA-S005</w:t>
            </w:r>
          </w:p>
        </w:tc>
      </w:tr>
      <w:tr>
        <w:tc>
          <w:tcPr>
            <w:tcW w:type="dxa" w:w="2160"/>
            <w:shd w:fill="F5F3FF"/>
          </w:tcPr>
          <w:p>
            <w:pPr>
              <w:spacing w:after="40"/>
            </w:pPr>
            <w:r>
              <w:rPr>
                <w:sz w:val="18"/>
              </w:rPr>
              <w:t>Dandidar Buti</w:t>
            </w:r>
          </w:p>
        </w:tc>
        <w:tc>
          <w:tcPr>
            <w:tcW w:type="dxa" w:w="1872"/>
            <w:shd w:fill="F5F3FF"/>
          </w:tcPr>
          <w:p>
            <w:pPr>
              <w:spacing w:after="40"/>
            </w:pPr>
            <w:r>
              <w:rPr>
                <w:sz w:val="18"/>
              </w:rPr>
              <w:t>Geometric-floral</w:t>
            </w:r>
          </w:p>
        </w:tc>
        <w:tc>
          <w:tcPr>
            <w:tcW w:type="dxa" w:w="2880"/>
            <w:shd w:fill="F5F3FF"/>
          </w:tcPr>
          <w:p>
            <w:pPr>
              <w:spacing w:after="40"/>
            </w:pPr>
            <w:r>
              <w:rPr>
                <w:sz w:val="18"/>
              </w:rPr>
              <w:t>Buti with a small stem (dandi) — leaf or flower on a stalk.</w:t>
            </w:r>
          </w:p>
        </w:tc>
        <w:tc>
          <w:tcPr>
            <w:tcW w:type="dxa" w:w="2592"/>
            <w:shd w:fill="F5F3FF"/>
          </w:tcPr>
          <w:p>
            <w:pPr>
              <w:spacing w:after="40"/>
            </w:pPr>
            <w:r>
              <w:rPr>
                <w:sz w:val="18"/>
              </w:rPr>
              <w:t>Not documented.</w:t>
            </w:r>
          </w:p>
        </w:tc>
        <w:tc>
          <w:tcPr>
            <w:tcW w:type="dxa" w:w="2160"/>
            <w:shd w:fill="F5F3FF"/>
          </w:tcPr>
          <w:p>
            <w:pPr>
              <w:spacing w:after="40"/>
            </w:pPr>
            <w:r>
              <w:rPr>
                <w:sz w:val="18"/>
              </w:rPr>
              <w:t>Traditional Chanderi variant.</w:t>
            </w:r>
          </w:p>
        </w:tc>
        <w:tc>
          <w:tcPr>
            <w:tcW w:type="dxa" w:w="1872"/>
            <w:shd w:fill="F5F3FF"/>
          </w:tcPr>
          <w:p>
            <w:pPr>
              <w:spacing w:after="40"/>
            </w:pPr>
            <w:r>
              <w:rPr>
                <w:sz w:val="18"/>
              </w:rPr>
              <w:t>Fabric body.</w:t>
            </w:r>
          </w:p>
        </w:tc>
        <w:tc>
          <w:tcPr>
            <w:tcW w:type="dxa" w:w="1152"/>
            <w:shd w:fill="F5F3FF"/>
          </w:tcPr>
          <w:p>
            <w:pPr>
              <w:spacing w:after="40"/>
            </w:pPr>
            <w:r>
              <w:rPr>
                <w:sz w:val="18"/>
              </w:rPr>
              <w:t>CHA-S012</w:t>
            </w:r>
          </w:p>
        </w:tc>
      </w:tr>
      <w:tr>
        <w:tc>
          <w:tcPr>
            <w:tcW w:type="dxa" w:w="2160"/>
            <w:shd w:fill="FFFFFF"/>
          </w:tcPr>
          <w:p>
            <w:pPr>
              <w:spacing w:after="40"/>
            </w:pPr>
            <w:r>
              <w:rPr>
                <w:sz w:val="18"/>
              </w:rPr>
              <w:t>Chameli (Jasmine)</w:t>
            </w:r>
          </w:p>
        </w:tc>
        <w:tc>
          <w:tcPr>
            <w:tcW w:type="dxa" w:w="1872"/>
            <w:shd w:fill="FFFFFF"/>
          </w:tcPr>
          <w:p>
            <w:pPr>
              <w:spacing w:after="40"/>
            </w:pPr>
            <w:r>
              <w:rPr>
                <w:sz w:val="18"/>
              </w:rPr>
              <w:t>Floral</w:t>
            </w:r>
          </w:p>
        </w:tc>
        <w:tc>
          <w:tcPr>
            <w:tcW w:type="dxa" w:w="2880"/>
            <w:shd w:fill="FFFFFF"/>
          </w:tcPr>
          <w:p>
            <w:pPr>
              <w:spacing w:after="40"/>
            </w:pPr>
            <w:r>
              <w:rPr>
                <w:sz w:val="18"/>
              </w:rPr>
              <w:t>Small jasmine flower motif in supplementary weft.</w:t>
            </w:r>
          </w:p>
        </w:tc>
        <w:tc>
          <w:tcPr>
            <w:tcW w:type="dxa" w:w="2592"/>
            <w:shd w:fill="FFFFFF"/>
          </w:tcPr>
          <w:p>
            <w:pPr>
              <w:spacing w:after="40"/>
            </w:pPr>
            <w:r>
              <w:rPr>
                <w:sz w:val="18"/>
              </w:rPr>
              <w:t>Associated with lightness and fragrance — TRADITION, not documented historically.</w:t>
            </w:r>
          </w:p>
        </w:tc>
        <w:tc>
          <w:tcPr>
            <w:tcW w:type="dxa" w:w="2160"/>
            <w:shd w:fill="FFFFFF"/>
          </w:tcPr>
          <w:p>
            <w:pPr>
              <w:spacing w:after="40"/>
            </w:pPr>
            <w:r>
              <w:rPr>
                <w:sz w:val="18"/>
              </w:rPr>
              <w:t>Naturalistic floral tradition.</w:t>
            </w:r>
          </w:p>
        </w:tc>
        <w:tc>
          <w:tcPr>
            <w:tcW w:type="dxa" w:w="1872"/>
            <w:shd w:fill="FFFFFF"/>
          </w:tcPr>
          <w:p>
            <w:pPr>
              <w:spacing w:after="40"/>
            </w:pPr>
            <w:r>
              <w:rPr>
                <w:sz w:val="18"/>
              </w:rPr>
              <w:t>Fabric body; border.</w:t>
            </w:r>
          </w:p>
        </w:tc>
        <w:tc>
          <w:tcPr>
            <w:tcW w:type="dxa" w:w="1152"/>
            <w:shd w:fill="FFFFFF"/>
          </w:tcPr>
          <w:p>
            <w:pPr>
              <w:spacing w:after="40"/>
            </w:pPr>
            <w:r>
              <w:rPr>
                <w:sz w:val="18"/>
              </w:rPr>
              <w:t>CHA-S005</w:t>
            </w:r>
          </w:p>
        </w:tc>
      </w:tr>
      <w:tr>
        <w:tc>
          <w:tcPr>
            <w:tcW w:type="dxa" w:w="2160"/>
            <w:shd w:fill="F5F3FF"/>
          </w:tcPr>
          <w:p>
            <w:pPr>
              <w:spacing w:after="40"/>
            </w:pPr>
            <w:r>
              <w:rPr>
                <w:sz w:val="18"/>
              </w:rPr>
              <w:t>Ashrafi (Coin)</w:t>
            </w:r>
          </w:p>
        </w:tc>
        <w:tc>
          <w:tcPr>
            <w:tcW w:type="dxa" w:w="1872"/>
            <w:shd w:fill="F5F3FF"/>
          </w:tcPr>
          <w:p>
            <w:pPr>
              <w:spacing w:after="40"/>
            </w:pPr>
            <w:r>
              <w:rPr>
                <w:sz w:val="18"/>
              </w:rPr>
              <w:t>Geometric</w:t>
            </w:r>
          </w:p>
        </w:tc>
        <w:tc>
          <w:tcPr>
            <w:tcW w:type="dxa" w:w="2880"/>
            <w:shd w:fill="F5F3FF"/>
          </w:tcPr>
          <w:p>
            <w:pPr>
              <w:spacing w:after="40"/>
            </w:pPr>
            <w:r>
              <w:rPr>
                <w:sz w:val="18"/>
              </w:rPr>
              <w:t>Small coin-shaped circular motif.</w:t>
            </w:r>
          </w:p>
        </w:tc>
        <w:tc>
          <w:tcPr>
            <w:tcW w:type="dxa" w:w="2592"/>
            <w:shd w:fill="F5F3FF"/>
          </w:tcPr>
          <w:p>
            <w:pPr>
              <w:spacing w:after="40"/>
            </w:pPr>
            <w:r>
              <w:rPr>
                <w:sz w:val="18"/>
              </w:rPr>
              <w:t>Prosperity symbolism — TRADITION.</w:t>
            </w:r>
          </w:p>
        </w:tc>
        <w:tc>
          <w:tcPr>
            <w:tcW w:type="dxa" w:w="2160"/>
            <w:shd w:fill="F5F3FF"/>
          </w:tcPr>
          <w:p>
            <w:pPr>
              <w:spacing w:after="40"/>
            </w:pPr>
            <w:r>
              <w:rPr>
                <w:sz w:val="18"/>
              </w:rPr>
              <w:t>Likely Mughal-period origin.</w:t>
            </w:r>
          </w:p>
        </w:tc>
        <w:tc>
          <w:tcPr>
            <w:tcW w:type="dxa" w:w="1872"/>
            <w:shd w:fill="F5F3FF"/>
          </w:tcPr>
          <w:p>
            <w:pPr>
              <w:spacing w:after="40"/>
            </w:pPr>
            <w:r>
              <w:rPr>
                <w:sz w:val="18"/>
              </w:rPr>
              <w:t>Fabric body scatter.</w:t>
            </w:r>
          </w:p>
        </w:tc>
        <w:tc>
          <w:tcPr>
            <w:tcW w:type="dxa" w:w="1152"/>
            <w:shd w:fill="F5F3FF"/>
          </w:tcPr>
          <w:p>
            <w:pPr>
              <w:spacing w:after="40"/>
            </w:pPr>
            <w:r>
              <w:rPr>
                <w:sz w:val="18"/>
              </w:rPr>
              <w:t>CHA-S005</w:t>
            </w:r>
          </w:p>
        </w:tc>
      </w:tr>
      <w:tr>
        <w:tc>
          <w:tcPr>
            <w:tcW w:type="dxa" w:w="2160"/>
            <w:shd w:fill="FFFFFF"/>
          </w:tcPr>
          <w:p>
            <w:pPr>
              <w:spacing w:after="40"/>
            </w:pPr>
            <w:r>
              <w:rPr>
                <w:sz w:val="18"/>
              </w:rPr>
              <w:t>Lotus (Kamal)</w:t>
            </w:r>
          </w:p>
        </w:tc>
        <w:tc>
          <w:tcPr>
            <w:tcW w:type="dxa" w:w="1872"/>
            <w:shd w:fill="FFFFFF"/>
          </w:tcPr>
          <w:p>
            <w:pPr>
              <w:spacing w:after="40"/>
            </w:pPr>
            <w:r>
              <w:rPr>
                <w:sz w:val="18"/>
              </w:rPr>
              <w:t>Floral-religious</w:t>
            </w:r>
          </w:p>
        </w:tc>
        <w:tc>
          <w:tcPr>
            <w:tcW w:type="dxa" w:w="2880"/>
            <w:shd w:fill="FFFFFF"/>
          </w:tcPr>
          <w:p>
            <w:pPr>
              <w:spacing w:after="40"/>
            </w:pPr>
            <w:r>
              <w:rPr>
                <w:sz w:val="18"/>
              </w:rPr>
              <w:t>Stylized lotus flower in various scales.</w:t>
            </w:r>
          </w:p>
        </w:tc>
        <w:tc>
          <w:tcPr>
            <w:tcW w:type="dxa" w:w="2592"/>
            <w:shd w:fill="FFFFFF"/>
          </w:tcPr>
          <w:p>
            <w:pPr>
              <w:spacing w:after="40"/>
            </w:pPr>
            <w:r>
              <w:rPr>
                <w:sz w:val="18"/>
              </w:rPr>
              <w:t>Sacred in Hindu and Jain traditions — documented cultural significance.</w:t>
            </w:r>
          </w:p>
        </w:tc>
        <w:tc>
          <w:tcPr>
            <w:tcW w:type="dxa" w:w="2160"/>
            <w:shd w:fill="FFFFFF"/>
          </w:tcPr>
          <w:p>
            <w:pPr>
              <w:spacing w:after="40"/>
            </w:pPr>
            <w:r>
              <w:rPr>
                <w:sz w:val="18"/>
              </w:rPr>
              <w:t>Ancient Indian motif tradition.</w:t>
            </w:r>
          </w:p>
        </w:tc>
        <w:tc>
          <w:tcPr>
            <w:tcW w:type="dxa" w:w="1872"/>
            <w:shd w:fill="FFFFFF"/>
          </w:tcPr>
          <w:p>
            <w:pPr>
              <w:spacing w:after="40"/>
            </w:pPr>
            <w:r>
              <w:rPr>
                <w:sz w:val="18"/>
              </w:rPr>
              <w:t>Border; pallu; body.</w:t>
            </w:r>
          </w:p>
        </w:tc>
        <w:tc>
          <w:tcPr>
            <w:tcW w:type="dxa" w:w="1152"/>
            <w:shd w:fill="FFFFFF"/>
          </w:tcPr>
          <w:p>
            <w:pPr>
              <w:spacing w:after="40"/>
            </w:pPr>
            <w:r>
              <w:rPr>
                <w:sz w:val="18"/>
              </w:rPr>
              <w:t>CHA-S005</w:t>
            </w:r>
          </w:p>
        </w:tc>
      </w:tr>
      <w:tr>
        <w:tc>
          <w:tcPr>
            <w:tcW w:type="dxa" w:w="2160"/>
            <w:shd w:fill="F5F3FF"/>
          </w:tcPr>
          <w:p>
            <w:pPr>
              <w:spacing w:after="40"/>
            </w:pPr>
            <w:r>
              <w:rPr>
                <w:sz w:val="18"/>
              </w:rPr>
              <w:t>Geometric Checks (Chatai)</w:t>
            </w:r>
          </w:p>
        </w:tc>
        <w:tc>
          <w:tcPr>
            <w:tcW w:type="dxa" w:w="1872"/>
            <w:shd w:fill="F5F3FF"/>
          </w:tcPr>
          <w:p>
            <w:pPr>
              <w:spacing w:after="40"/>
            </w:pPr>
            <w:r>
              <w:rPr>
                <w:sz w:val="18"/>
              </w:rPr>
              <w:t>Geometric</w:t>
            </w:r>
          </w:p>
        </w:tc>
        <w:tc>
          <w:tcPr>
            <w:tcW w:type="dxa" w:w="2880"/>
            <w:shd w:fill="F5F3FF"/>
          </w:tcPr>
          <w:p>
            <w:pPr>
              <w:spacing w:after="40"/>
            </w:pPr>
            <w:r>
              <w:rPr>
                <w:sz w:val="18"/>
              </w:rPr>
              <w:t>Fine woven check or basket-weave-inspired pattern.</w:t>
            </w:r>
          </w:p>
        </w:tc>
        <w:tc>
          <w:tcPr>
            <w:tcW w:type="dxa" w:w="2592"/>
            <w:shd w:fill="F5F3FF"/>
          </w:tcPr>
          <w:p>
            <w:pPr>
              <w:spacing w:after="40"/>
            </w:pPr>
            <w:r>
              <w:rPr>
                <w:sz w:val="18"/>
              </w:rPr>
              <w:t>Not documented.</w:t>
            </w:r>
          </w:p>
        </w:tc>
        <w:tc>
          <w:tcPr>
            <w:tcW w:type="dxa" w:w="2160"/>
            <w:shd w:fill="F5F3FF"/>
          </w:tcPr>
          <w:p>
            <w:pPr>
              <w:spacing w:after="40"/>
            </w:pPr>
            <w:r>
              <w:rPr>
                <w:sz w:val="18"/>
              </w:rPr>
              <w:t>Structural weave pattern.</w:t>
            </w:r>
          </w:p>
        </w:tc>
        <w:tc>
          <w:tcPr>
            <w:tcW w:type="dxa" w:w="1872"/>
            <w:shd w:fill="F5F3FF"/>
          </w:tcPr>
          <w:p>
            <w:pPr>
              <w:spacing w:after="40"/>
            </w:pPr>
            <w:r>
              <w:rPr>
                <w:sz w:val="18"/>
              </w:rPr>
              <w:t>Plain fabric body variant.</w:t>
            </w:r>
          </w:p>
        </w:tc>
        <w:tc>
          <w:tcPr>
            <w:tcW w:type="dxa" w:w="1152"/>
            <w:shd w:fill="F5F3FF"/>
          </w:tcPr>
          <w:p>
            <w:pPr>
              <w:spacing w:after="40"/>
            </w:pPr>
            <w:r>
              <w:rPr>
                <w:sz w:val="18"/>
              </w:rPr>
              <w:t>CHA-S012</w:t>
            </w:r>
          </w:p>
        </w:tc>
      </w:tr>
      <w:tr>
        <w:tc>
          <w:tcPr>
            <w:tcW w:type="dxa" w:w="2160"/>
            <w:shd w:fill="FFFFFF"/>
          </w:tcPr>
          <w:p>
            <w:pPr>
              <w:spacing w:after="40"/>
            </w:pPr>
            <w:r>
              <w:rPr>
                <w:sz w:val="18"/>
              </w:rPr>
              <w:t>Peacock (Mor)</w:t>
            </w:r>
          </w:p>
        </w:tc>
        <w:tc>
          <w:tcPr>
            <w:tcW w:type="dxa" w:w="1872"/>
            <w:shd w:fill="FFFFFF"/>
          </w:tcPr>
          <w:p>
            <w:pPr>
              <w:spacing w:after="40"/>
            </w:pPr>
            <w:r>
              <w:rPr>
                <w:sz w:val="18"/>
              </w:rPr>
              <w:t>Figurative</w:t>
            </w:r>
          </w:p>
        </w:tc>
        <w:tc>
          <w:tcPr>
            <w:tcW w:type="dxa" w:w="2880"/>
            <w:shd w:fill="FFFFFF"/>
          </w:tcPr>
          <w:p>
            <w:pPr>
              <w:spacing w:after="40"/>
            </w:pPr>
            <w:r>
              <w:rPr>
                <w:sz w:val="18"/>
              </w:rPr>
              <w:t>Stylized peacock motif in larger-scale designs.</w:t>
            </w:r>
          </w:p>
        </w:tc>
        <w:tc>
          <w:tcPr>
            <w:tcW w:type="dxa" w:w="2592"/>
            <w:shd w:fill="FFFFFF"/>
          </w:tcPr>
          <w:p>
            <w:pPr>
              <w:spacing w:after="40"/>
            </w:pPr>
            <w:r>
              <w:rPr>
                <w:sz w:val="18"/>
              </w:rPr>
              <w:t>National bird; auspiciousness — TRADITION.</w:t>
            </w:r>
          </w:p>
        </w:tc>
        <w:tc>
          <w:tcPr>
            <w:tcW w:type="dxa" w:w="2160"/>
            <w:shd w:fill="FFFFFF"/>
          </w:tcPr>
          <w:p>
            <w:pPr>
              <w:spacing w:after="40"/>
            </w:pPr>
            <w:r>
              <w:rPr>
                <w:sz w:val="18"/>
              </w:rPr>
              <w:t>Regional Indian textile tradition.</w:t>
            </w:r>
          </w:p>
        </w:tc>
        <w:tc>
          <w:tcPr>
            <w:tcW w:type="dxa" w:w="1872"/>
            <w:shd w:fill="FFFFFF"/>
          </w:tcPr>
          <w:p>
            <w:pPr>
              <w:spacing w:after="40"/>
            </w:pPr>
            <w:r>
              <w:rPr>
                <w:sz w:val="18"/>
              </w:rPr>
              <w:t>Pallu; border; special orders.</w:t>
            </w:r>
          </w:p>
        </w:tc>
        <w:tc>
          <w:tcPr>
            <w:tcW w:type="dxa" w:w="1152"/>
            <w:shd w:fill="FFFFFF"/>
          </w:tcPr>
          <w:p>
            <w:pPr>
              <w:spacing w:after="40"/>
            </w:pPr>
            <w:r>
              <w:rPr>
                <w:sz w:val="18"/>
              </w:rPr>
              <w:t>CHA-S005</w:t>
            </w:r>
          </w:p>
        </w:tc>
      </w:tr>
      <w:tr>
        <w:tc>
          <w:tcPr>
            <w:tcW w:type="dxa" w:w="2160"/>
            <w:shd w:fill="F5F3FF"/>
          </w:tcPr>
          <w:p>
            <w:pPr>
              <w:spacing w:after="40"/>
            </w:pPr>
            <w:r>
              <w:rPr>
                <w:sz w:val="18"/>
              </w:rPr>
              <w:t>Running Border (Chhapri)</w:t>
            </w:r>
          </w:p>
        </w:tc>
        <w:tc>
          <w:tcPr>
            <w:tcW w:type="dxa" w:w="1872"/>
            <w:shd w:fill="F5F3FF"/>
          </w:tcPr>
          <w:p>
            <w:pPr>
              <w:spacing w:after="40"/>
            </w:pPr>
            <w:r>
              <w:rPr>
                <w:sz w:val="18"/>
              </w:rPr>
              <w:t>Geometric border</w:t>
            </w:r>
          </w:p>
        </w:tc>
        <w:tc>
          <w:tcPr>
            <w:tcW w:type="dxa" w:w="2880"/>
            <w:shd w:fill="F5F3FF"/>
          </w:tcPr>
          <w:p>
            <w:pPr>
              <w:spacing w:after="40"/>
            </w:pPr>
            <w:r>
              <w:rPr>
                <w:sz w:val="18"/>
              </w:rPr>
              <w:t>Repeated small geometric unit forming continuous border line.</w:t>
            </w:r>
          </w:p>
        </w:tc>
        <w:tc>
          <w:tcPr>
            <w:tcW w:type="dxa" w:w="2592"/>
            <w:shd w:fill="F5F3FF"/>
          </w:tcPr>
          <w:p>
            <w:pPr>
              <w:spacing w:after="40"/>
            </w:pPr>
            <w:r>
              <w:rPr>
                <w:sz w:val="18"/>
              </w:rPr>
              <w:t>Not documented.</w:t>
            </w:r>
          </w:p>
        </w:tc>
        <w:tc>
          <w:tcPr>
            <w:tcW w:type="dxa" w:w="2160"/>
            <w:shd w:fill="F5F3FF"/>
          </w:tcPr>
          <w:p>
            <w:pPr>
              <w:spacing w:after="40"/>
            </w:pPr>
            <w:r>
              <w:rPr>
                <w:sz w:val="18"/>
              </w:rPr>
              <w:t>Traditional border construction.</w:t>
            </w:r>
          </w:p>
        </w:tc>
        <w:tc>
          <w:tcPr>
            <w:tcW w:type="dxa" w:w="1872"/>
            <w:shd w:fill="F5F3FF"/>
          </w:tcPr>
          <w:p>
            <w:pPr>
              <w:spacing w:after="40"/>
            </w:pPr>
            <w:r>
              <w:rPr>
                <w:sz w:val="18"/>
              </w:rPr>
              <w:t>Saree border.</w:t>
            </w:r>
          </w:p>
        </w:tc>
        <w:tc>
          <w:tcPr>
            <w:tcW w:type="dxa" w:w="1152"/>
            <w:shd w:fill="F5F3FF"/>
          </w:tcPr>
          <w:p>
            <w:pPr>
              <w:spacing w:after="40"/>
            </w:pPr>
            <w:r>
              <w:rPr>
                <w:sz w:val="18"/>
              </w:rPr>
              <w:t>CHA-S012</w:t>
            </w:r>
          </w:p>
        </w:tc>
      </w:tr>
      <w:tr>
        <w:tc>
          <w:tcPr>
            <w:tcW w:type="dxa" w:w="2160"/>
            <w:shd w:fill="FFFFFF"/>
          </w:tcPr>
          <w:p>
            <w:pPr>
              <w:spacing w:after="40"/>
            </w:pPr>
            <w:r>
              <w:rPr>
                <w:sz w:val="18"/>
              </w:rPr>
              <w:t>Zari Stripe</w:t>
            </w:r>
          </w:p>
        </w:tc>
        <w:tc>
          <w:tcPr>
            <w:tcW w:type="dxa" w:w="1872"/>
            <w:shd w:fill="FFFFFF"/>
          </w:tcPr>
          <w:p>
            <w:pPr>
              <w:spacing w:after="40"/>
            </w:pPr>
            <w:r>
              <w:rPr>
                <w:sz w:val="18"/>
              </w:rPr>
              <w:t>Metallic border</w:t>
            </w:r>
          </w:p>
        </w:tc>
        <w:tc>
          <w:tcPr>
            <w:tcW w:type="dxa" w:w="2880"/>
            <w:shd w:fill="FFFFFF"/>
          </w:tcPr>
          <w:p>
            <w:pPr>
              <w:spacing w:after="40"/>
            </w:pPr>
            <w:r>
              <w:rPr>
                <w:sz w:val="18"/>
              </w:rPr>
              <w:t>Gold or silver zari thread woven in parallel stripes.</w:t>
            </w:r>
          </w:p>
        </w:tc>
        <w:tc>
          <w:tcPr>
            <w:tcW w:type="dxa" w:w="2592"/>
            <w:shd w:fill="FFFFFF"/>
          </w:tcPr>
          <w:p>
            <w:pPr>
              <w:spacing w:after="40"/>
            </w:pPr>
            <w:r>
              <w:rPr>
                <w:sz w:val="18"/>
              </w:rPr>
              <w:t>Prestige and wealth — TRADITION.</w:t>
            </w:r>
          </w:p>
        </w:tc>
        <w:tc>
          <w:tcPr>
            <w:tcW w:type="dxa" w:w="2160"/>
            <w:shd w:fill="FFFFFF"/>
          </w:tcPr>
          <w:p>
            <w:pPr>
              <w:spacing w:after="40"/>
            </w:pPr>
            <w:r>
              <w:rPr>
                <w:sz w:val="18"/>
              </w:rPr>
              <w:t>Mughal-period metallic thread tradition.</w:t>
            </w:r>
          </w:p>
        </w:tc>
        <w:tc>
          <w:tcPr>
            <w:tcW w:type="dxa" w:w="1872"/>
            <w:shd w:fill="FFFFFF"/>
          </w:tcPr>
          <w:p>
            <w:pPr>
              <w:spacing w:after="40"/>
            </w:pPr>
            <w:r>
              <w:rPr>
                <w:sz w:val="18"/>
              </w:rPr>
              <w:t>Border and pallu.</w:t>
            </w:r>
          </w:p>
        </w:tc>
        <w:tc>
          <w:tcPr>
            <w:tcW w:type="dxa" w:w="1152"/>
            <w:shd w:fill="FFFFFF"/>
          </w:tcPr>
          <w:p>
            <w:pPr>
              <w:spacing w:after="40"/>
            </w:pPr>
            <w:r>
              <w:rPr>
                <w:sz w:val="18"/>
              </w:rPr>
              <w:t>CHA-S005</w:t>
            </w:r>
          </w:p>
        </w:tc>
      </w:tr>
      <w:tr>
        <w:tc>
          <w:tcPr>
            <w:tcW w:type="dxa" w:w="2160"/>
            <w:shd w:fill="F5F3FF"/>
          </w:tcPr>
          <w:p>
            <w:pPr>
              <w:spacing w:after="40"/>
            </w:pPr>
            <w:r>
              <w:rPr>
                <w:sz w:val="18"/>
              </w:rPr>
              <w:t>Temple Border (Mandir Patta)</w:t>
            </w:r>
          </w:p>
        </w:tc>
        <w:tc>
          <w:tcPr>
            <w:tcW w:type="dxa" w:w="1872"/>
            <w:shd w:fill="F5F3FF"/>
          </w:tcPr>
          <w:p>
            <w:pPr>
              <w:spacing w:after="40"/>
            </w:pPr>
            <w:r>
              <w:rPr>
                <w:sz w:val="18"/>
              </w:rPr>
              <w:t>Architectural-geometric</w:t>
            </w:r>
          </w:p>
        </w:tc>
        <w:tc>
          <w:tcPr>
            <w:tcW w:type="dxa" w:w="2880"/>
            <w:shd w:fill="F5F3FF"/>
          </w:tcPr>
          <w:p>
            <w:pPr>
              <w:spacing w:after="40"/>
            </w:pPr>
            <w:r>
              <w:rPr>
                <w:sz w:val="18"/>
              </w:rPr>
              <w:t>Stepped geometric border evoking temple architecture.</w:t>
            </w:r>
          </w:p>
        </w:tc>
        <w:tc>
          <w:tcPr>
            <w:tcW w:type="dxa" w:w="2592"/>
            <w:shd w:fill="F5F3FF"/>
          </w:tcPr>
          <w:p>
            <w:pPr>
              <w:spacing w:after="40"/>
            </w:pPr>
            <w:r>
              <w:rPr>
                <w:sz w:val="18"/>
              </w:rPr>
              <w:t>Sacred architecture symbolism — TRADITION.</w:t>
            </w:r>
          </w:p>
        </w:tc>
        <w:tc>
          <w:tcPr>
            <w:tcW w:type="dxa" w:w="2160"/>
            <w:shd w:fill="F5F3FF"/>
          </w:tcPr>
          <w:p>
            <w:pPr>
              <w:spacing w:after="40"/>
            </w:pPr>
            <w:r>
              <w:rPr>
                <w:sz w:val="18"/>
              </w:rPr>
              <w:t>Regional Indian textile tradition.</w:t>
            </w:r>
          </w:p>
        </w:tc>
        <w:tc>
          <w:tcPr>
            <w:tcW w:type="dxa" w:w="1872"/>
            <w:shd w:fill="F5F3FF"/>
          </w:tcPr>
          <w:p>
            <w:pPr>
              <w:spacing w:after="40"/>
            </w:pPr>
            <w:r>
              <w:rPr>
                <w:sz w:val="18"/>
              </w:rPr>
              <w:t>Saree border.</w:t>
            </w:r>
          </w:p>
        </w:tc>
        <w:tc>
          <w:tcPr>
            <w:tcW w:type="dxa" w:w="1152"/>
            <w:shd w:fill="F5F3FF"/>
          </w:tcPr>
          <w:p>
            <w:pPr>
              <w:spacing w:after="40"/>
            </w:pPr>
            <w:r>
              <w:rPr>
                <w:sz w:val="18"/>
              </w:rPr>
              <w:t>CHA-S005</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