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26. Weaver Communities &amp; Livelihoods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Communities Involved in Chanderi Weaving</w:t>
      </w:r>
    </w:p>
    <w:p>
      <w:pPr>
        <w:spacing w:after="120" w:line="276" w:lineRule="auto"/>
      </w:pPr>
      <w:r>
        <w:rPr>
          <w:i w:val="0"/>
        </w:rPr>
        <w:t>The Chanderi handloom industry involves multiple communities in different roles within the production and trade chain. The primary weaving communities include Muslim weaver families (historically organized under the Ansari/Julaha community identity) and Hindu weaver communities. Both have contributed to the development of the Chanderi textile tradition [Source: CHA-S005, CHA-S012].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[COMMUNITY SENSITIVITY NOTE]</w:t>
              <w:br/>
            </w:r>
            <w:r>
              <w:rPr>
                <w:sz w:val="19"/>
              </w:rPr>
              <w:t>Community identities in the weaving sector are complex. This section documents occupational communities with sensitivity, avoiding stereotyping. Not all members of a community are weavers; not all weavers belong to a single community. Economic necessity, family tradition, and cultural pride all motivate weaving as an occupation.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Traditional Knowledge Transmission</w:t>
      </w:r>
    </w:p>
    <w:p>
      <w:pPr>
        <w:spacing w:after="120" w:line="276" w:lineRule="auto"/>
      </w:pPr>
      <w:r>
        <w:rPr>
          <w:i w:val="0"/>
        </w:rPr>
        <w:t>Chanderi's weaving knowledge has historically been transmitted through the family unit — children learning the craft by observation and gradual participation from a young age. Key aspects of this apprenticeship system: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Family Apprenticeship: </w:t>
      </w:r>
      <w:r>
        <w:t>Children grow up in households where looms are operating; learning begins through observation, then simple tasks (winding bobbins, fetching materials), and progressively to operating the loom.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Oral/Practical Pattern Transmission: </w:t>
      </w:r>
      <w:r>
        <w:t>Pattern knowledge — particularly the sequence for weaving specific motifs — is often memorized and passed verbally, or through physical demonstration, rather than written documentation.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Women's Participation: </w:t>
      </w:r>
      <w:r>
        <w:t>Women participate actively in weaving-related work: yarn preparation, winding, bobbin-filling, finishing, and quality inspection. In many households, women also operate looms alongside men, though this varies by family.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Modern Livelihood Challenges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Challenge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 on Weavers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Current Response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Power-loom competition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Machine-made 'Chanderi-style' fabric from power looms sold at much lower prices.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Serious price undercutting; reduced handloom market share.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GI tag (2005) helps distinguish authentic handloom; awareness campaigns.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Synthetic imitations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Synthetic fabric (polyester) sold as 'Chanderi' at low prices.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Confuses consumers; damages brand trust.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GI enforcement; weaver cooperatives certifying authentic products.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Skill transmission gap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Younger generation in some families opting for other livelihoods.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Risk of skill loss for complex traditional techniques.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Government training programs; cluster development.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Market access barriers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Weavers often sell to middlemen at low margins; limited direct market access.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Reduces weaver income; middlemen capture most value.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Cooperative marketing; online platform access; craft fairs.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Working capital shortage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Weavers need capital to buy yarn before receiving payment for fabric.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Debt dependency; vulnerability to exploitative financing.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Government credit schemes; cooperative advances.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