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28. Arts, Crafts &amp; Material Culture</w:t>
      </w:r>
    </w:p>
    <w:p>
      <w:pPr>
        <w:spacing w:before="280" w:after="120"/>
      </w:pPr>
      <w:r>
        <w:rPr>
          <w:rFonts w:ascii="Arial" w:hAnsi="Arial"/>
          <w:b/>
          <w:color w:val="6D28D9"/>
          <w:sz w:val="30"/>
        </w:rPr>
        <w:t>1. Craft Traditions of Chanderi and its Region</w:t>
      </w:r>
    </w:p>
    <w:p>
      <w:pPr>
        <w:spacing w:after="120" w:line="276" w:lineRule="auto"/>
      </w:pPr>
      <w:r>
        <w:rPr>
          <w:i w:val="0"/>
        </w:rPr>
        <w:t>While handloom weaving is overwhelmingly Chanderi's dominant craft tradition, the historic town and its region support additional craft activities. The following documents crafts with reliable evidence of practice in or directly associated with Chanderi. Crafts documented only for the broader Bundelkhand or Madhya Pradesh region are noted as such rather than being attributed specifically to Chanderi [Source: CHA-S004, CHA-S012].</w:t>
      </w:r>
    </w:p>
    <w:p>
      <w:pPr>
        <w:spacing w:before="200" w:after="80"/>
      </w:pPr>
      <w:r>
        <w:rPr>
          <w:rFonts w:ascii="Arial" w:hAnsi="Arial"/>
          <w:b/>
          <w:color w:val="78350F"/>
          <w:sz w:val="26"/>
        </w:rPr>
        <w:t>2. Handloom Weaving (Primary Craft)</w:t>
      </w:r>
    </w:p>
    <w:p>
      <w:pPr>
        <w:spacing w:after="120" w:line="276" w:lineRule="auto"/>
      </w:pPr>
      <w:r>
        <w:rPr>
          <w:i w:val="0"/>
        </w:rPr>
        <w:t>Chanderi's handloom weaving is detailed in Documents 21–27. It represents the dominant cultural, economic, and artistic expression of the town and is the craft most inseparably associated with Chanderi's identity.</w:t>
      </w:r>
    </w:p>
    <w:p>
      <w:pPr>
        <w:spacing w:before="200" w:after="80"/>
      </w:pPr>
      <w:r>
        <w:rPr>
          <w:rFonts w:ascii="Arial" w:hAnsi="Arial"/>
          <w:b/>
          <w:color w:val="78350F"/>
          <w:sz w:val="26"/>
        </w:rPr>
        <w:t>3. Textile-Related Support Crafts</w:t>
      </w:r>
    </w:p>
    <w:p>
      <w:pPr>
        <w:pStyle w:val="ListBullet"/>
        <w:spacing w:after="80" w:line="276" w:lineRule="auto"/>
      </w:pPr>
      <w:r>
        <w:rPr>
          <w:b/>
          <w:color w:val="78350F"/>
        </w:rPr>
        <w:t xml:space="preserve">Block Printing: </w:t>
      </w:r>
      <w:r>
        <w:t>Block printing workshops in Chanderi produce printed cotton textiles, though this is secondary to handloom weaving. Block carvers using teak or sheesham wood create intricate printing blocks for geometric and floral patterns. [Evidence: regional craft documentation; Chanderi-specific extent requires survey. Source: CHA-S012]</w:t>
      </w:r>
    </w:p>
    <w:p>
      <w:pPr>
        <w:pStyle w:val="ListBullet"/>
        <w:spacing w:after="80" w:line="276" w:lineRule="auto"/>
      </w:pPr>
      <w:r>
        <w:rPr>
          <w:b/>
          <w:color w:val="78350F"/>
        </w:rPr>
        <w:t xml:space="preserve">Natural Dyeing: </w:t>
      </w:r>
      <w:r>
        <w:t>Natural dye preparation and application — particularly indigo, turmeric, and lac-based dyeing — has been practiced in connection with Chanderi's textile industry. The transition to synthetic dyes is well-advanced, but some artisans continue natural dye traditions. [Source: CHA-S005, CHA-S012]</w:t>
      </w:r>
    </w:p>
    <w:p>
      <w:pPr>
        <w:pStyle w:val="ListBullet"/>
        <w:spacing w:after="80" w:line="276" w:lineRule="auto"/>
      </w:pPr>
      <w:r>
        <w:rPr>
          <w:b/>
          <w:color w:val="78350F"/>
        </w:rPr>
        <w:t xml:space="preserve">Zari Work: </w:t>
      </w:r>
      <w:r>
        <w:t>Zari (gold/silver metallic thread) preparation and embellishment workshops supply the metallic thread woven into Chanderi borders and pallus. [Source: CHA-S005]</w:t>
      </w:r>
    </w:p>
    <w:p>
      <w:pPr>
        <w:spacing w:before="200" w:after="80"/>
      </w:pPr>
      <w:r>
        <w:rPr>
          <w:rFonts w:ascii="Arial" w:hAnsi="Arial"/>
          <w:b/>
          <w:color w:val="78350F"/>
          <w:sz w:val="26"/>
        </w:rPr>
        <w:t>4. Stone Carving</w:t>
      </w:r>
    </w:p>
    <w:p>
      <w:pPr>
        <w:spacing w:after="120" w:line="276" w:lineRule="auto"/>
      </w:pPr>
      <w:r>
        <w:rPr>
          <w:i w:val="0"/>
        </w:rPr>
        <w:t>The Chanderi region's quartzite and sandstone geology supported a stone-carving tradition during the medieval period — evidenced by the carved architectural elements of the fort, mosques, temples, and stepwells. Whether a living stone-carving craft tradition continues in present-day Chanderi for architectural or decorative purposes requires field verification [Source: CHA-S001, CHA-S011].</w:t>
      </w:r>
    </w:p>
    <w:p>
      <w:pPr>
        <w:spacing w:before="200" w:after="80"/>
      </w:pPr>
      <w:r>
        <w:rPr>
          <w:rFonts w:ascii="Arial" w:hAnsi="Arial"/>
          <w:b/>
          <w:color w:val="78350F"/>
          <w:sz w:val="26"/>
        </w:rPr>
        <w:t>5. Craft Summary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6D28D9"/>
          </w:tcPr>
          <w:p>
            <w:pPr>
              <w:spacing w:after="40"/>
              <w:jc w:val="left"/>
            </w:pPr>
            <w:r>
              <w:rPr>
                <w:rFonts w:ascii="Arial" w:hAnsi="Arial"/>
                <w:b/>
                <w:color w:val="FFFFFF"/>
                <w:sz w:val="19"/>
              </w:rPr>
              <w:t>Craft</w:t>
            </w:r>
          </w:p>
        </w:tc>
        <w:tc>
          <w:tcPr>
            <w:tcW w:type="dxa" w:w="2880"/>
            <w:shd w:fill="6D28D9"/>
          </w:tcPr>
          <w:p>
            <w:pPr>
              <w:spacing w:after="40"/>
              <w:jc w:val="left"/>
            </w:pPr>
            <w:r>
              <w:rPr>
                <w:rFonts w:ascii="Arial" w:hAnsi="Arial"/>
                <w:b/>
                <w:color w:val="FFFFFF"/>
                <w:sz w:val="19"/>
              </w:rPr>
              <w:t>Evidence Basis</w:t>
            </w:r>
          </w:p>
        </w:tc>
        <w:tc>
          <w:tcPr>
            <w:tcW w:type="dxa" w:w="2592"/>
            <w:shd w:fill="6D28D9"/>
          </w:tcPr>
          <w:p>
            <w:pPr>
              <w:spacing w:after="40"/>
              <w:jc w:val="left"/>
            </w:pPr>
            <w:r>
              <w:rPr>
                <w:rFonts w:ascii="Arial" w:hAnsi="Arial"/>
                <w:b/>
                <w:color w:val="FFFFFF"/>
                <w:sz w:val="19"/>
              </w:rPr>
              <w:t>Status in Chanderi</w:t>
            </w:r>
          </w:p>
        </w:tc>
        <w:tc>
          <w:tcPr>
            <w:tcW w:type="dxa" w:w="2592"/>
            <w:shd w:fill="6D28D9"/>
          </w:tcPr>
          <w:p>
            <w:pPr>
              <w:spacing w:after="40"/>
              <w:jc w:val="left"/>
            </w:pPr>
            <w:r>
              <w:rPr>
                <w:rFonts w:ascii="Arial" w:hAnsi="Arial"/>
                <w:b/>
                <w:color w:val="FFFFFF"/>
                <w:sz w:val="19"/>
              </w:rPr>
              <w:t>Communities</w:t>
            </w:r>
          </w:p>
        </w:tc>
        <w:tc>
          <w:tcPr>
            <w:tcW w:type="dxa" w:w="2160"/>
            <w:shd w:fill="6D28D9"/>
          </w:tcPr>
          <w:p>
            <w:pPr>
              <w:spacing w:after="40"/>
              <w:jc w:val="left"/>
            </w:pPr>
            <w:r>
              <w:rPr>
                <w:rFonts w:ascii="Arial" w:hAnsi="Arial"/>
                <w:b/>
                <w:color w:val="FFFFFF"/>
                <w:sz w:val="19"/>
              </w:rPr>
              <w:t>Products</w:t>
            </w:r>
          </w:p>
        </w:tc>
        <w:tc>
          <w:tcPr>
            <w:tcW w:type="dxa" w:w="1728"/>
            <w:shd w:fill="6D28D9"/>
          </w:tcPr>
          <w:p>
            <w:pPr>
              <w:spacing w:after="40"/>
              <w:jc w:val="left"/>
            </w:pPr>
            <w:r>
              <w:rPr>
                <w:rFonts w:ascii="Arial" w:hAnsi="Arial"/>
                <w:b/>
                <w:color w:val="FFFFFF"/>
                <w:sz w:val="19"/>
              </w:rPr>
              <w:t>Source</w:t>
            </w:r>
          </w:p>
        </w:tc>
      </w:tr>
      <w:tr>
        <w:tc>
          <w:tcPr>
            <w:tcW w:type="dxa" w:w="2160"/>
            <w:shd w:fill="FFFFFF"/>
          </w:tcPr>
          <w:p>
            <w:pPr>
              <w:spacing w:after="40"/>
            </w:pPr>
            <w:r>
              <w:rPr>
                <w:sz w:val="18"/>
              </w:rPr>
              <w:t>Handloom Weaving</w:t>
            </w:r>
          </w:p>
        </w:tc>
        <w:tc>
          <w:tcPr>
            <w:tcW w:type="dxa" w:w="2880"/>
            <w:shd w:fill="FFFFFF"/>
          </w:tcPr>
          <w:p>
            <w:pPr>
              <w:spacing w:after="40"/>
            </w:pPr>
            <w:r>
              <w:rPr>
                <w:sz w:val="18"/>
              </w:rPr>
              <w:t>GI Tag; Ministry of Textiles; extensive documentation.</w:t>
            </w:r>
          </w:p>
        </w:tc>
        <w:tc>
          <w:tcPr>
            <w:tcW w:type="dxa" w:w="2592"/>
            <w:shd w:fill="FFFFFF"/>
          </w:tcPr>
          <w:p>
            <w:pPr>
              <w:spacing w:after="40"/>
            </w:pPr>
            <w:r>
              <w:rPr>
                <w:sz w:val="18"/>
              </w:rPr>
              <w:t>PRIMARY — active, large-scale.</w:t>
            </w:r>
          </w:p>
        </w:tc>
        <w:tc>
          <w:tcPr>
            <w:tcW w:type="dxa" w:w="2592"/>
            <w:shd w:fill="FFFFFF"/>
          </w:tcPr>
          <w:p>
            <w:pPr>
              <w:spacing w:after="40"/>
            </w:pPr>
            <w:r>
              <w:rPr>
                <w:sz w:val="18"/>
              </w:rPr>
              <w:t>Multiple: Ansari/Julaha; Hindu weaver communities.</w:t>
            </w:r>
          </w:p>
        </w:tc>
        <w:tc>
          <w:tcPr>
            <w:tcW w:type="dxa" w:w="2160"/>
            <w:shd w:fill="FFFFFF"/>
          </w:tcPr>
          <w:p>
            <w:pPr>
              <w:spacing w:after="40"/>
            </w:pPr>
            <w:r>
              <w:rPr>
                <w:sz w:val="18"/>
              </w:rPr>
              <w:t>Sarees; dress material; dupattas.</w:t>
            </w:r>
          </w:p>
        </w:tc>
        <w:tc>
          <w:tcPr>
            <w:tcW w:type="dxa" w:w="1728"/>
            <w:shd w:fill="FFFFFF"/>
          </w:tcPr>
          <w:p>
            <w:pPr>
              <w:spacing w:after="40"/>
            </w:pPr>
            <w:r>
              <w:rPr>
                <w:sz w:val="18"/>
              </w:rPr>
              <w:t>CHA-S005, CHA-S006</w:t>
            </w:r>
          </w:p>
        </w:tc>
      </w:tr>
      <w:tr>
        <w:tc>
          <w:tcPr>
            <w:tcW w:type="dxa" w:w="2160"/>
            <w:shd w:fill="F5F3FF"/>
          </w:tcPr>
          <w:p>
            <w:pPr>
              <w:spacing w:after="40"/>
            </w:pPr>
            <w:r>
              <w:rPr>
                <w:sz w:val="18"/>
              </w:rPr>
              <w:t>Block Printing</w:t>
            </w:r>
          </w:p>
        </w:tc>
        <w:tc>
          <w:tcPr>
            <w:tcW w:type="dxa" w:w="2880"/>
            <w:shd w:fill="F5F3FF"/>
          </w:tcPr>
          <w:p>
            <w:pPr>
              <w:spacing w:after="40"/>
            </w:pPr>
            <w:r>
              <w:rPr>
                <w:sz w:val="18"/>
              </w:rPr>
              <w:t>Regional craft documentation; presence in area.</w:t>
            </w:r>
          </w:p>
        </w:tc>
        <w:tc>
          <w:tcPr>
            <w:tcW w:type="dxa" w:w="2592"/>
            <w:shd w:fill="F5F3FF"/>
          </w:tcPr>
          <w:p>
            <w:pPr>
              <w:spacing w:after="40"/>
            </w:pPr>
            <w:r>
              <w:rPr>
                <w:sz w:val="18"/>
              </w:rPr>
              <w:t>SECONDARY — present; scale requires survey.</w:t>
            </w:r>
          </w:p>
        </w:tc>
        <w:tc>
          <w:tcPr>
            <w:tcW w:type="dxa" w:w="2592"/>
            <w:shd w:fill="F5F3FF"/>
          </w:tcPr>
          <w:p>
            <w:pPr>
              <w:spacing w:after="40"/>
            </w:pPr>
            <w:r>
              <w:rPr>
                <w:sz w:val="18"/>
              </w:rPr>
              <w:t>Printer castes/artisan groups.</w:t>
            </w:r>
          </w:p>
        </w:tc>
        <w:tc>
          <w:tcPr>
            <w:tcW w:type="dxa" w:w="2160"/>
            <w:shd w:fill="F5F3FF"/>
          </w:tcPr>
          <w:p>
            <w:pPr>
              <w:spacing w:after="40"/>
            </w:pPr>
            <w:r>
              <w:rPr>
                <w:sz w:val="18"/>
              </w:rPr>
              <w:t>Printed cotton cloth.</w:t>
            </w:r>
          </w:p>
        </w:tc>
        <w:tc>
          <w:tcPr>
            <w:tcW w:type="dxa" w:w="1728"/>
            <w:shd w:fill="F5F3FF"/>
          </w:tcPr>
          <w:p>
            <w:pPr>
              <w:spacing w:after="40"/>
            </w:pPr>
            <w:r>
              <w:rPr>
                <w:sz w:val="18"/>
              </w:rPr>
              <w:t>CHA-S012</w:t>
            </w:r>
          </w:p>
        </w:tc>
      </w:tr>
      <w:tr>
        <w:tc>
          <w:tcPr>
            <w:tcW w:type="dxa" w:w="2160"/>
            <w:shd w:fill="FFFFFF"/>
          </w:tcPr>
          <w:p>
            <w:pPr>
              <w:spacing w:after="40"/>
            </w:pPr>
            <w:r>
              <w:rPr>
                <w:sz w:val="18"/>
              </w:rPr>
              <w:t>Natural Dyeing</w:t>
            </w:r>
          </w:p>
        </w:tc>
        <w:tc>
          <w:tcPr>
            <w:tcW w:type="dxa" w:w="2880"/>
            <w:shd w:fill="FFFFFF"/>
          </w:tcPr>
          <w:p>
            <w:pPr>
              <w:spacing w:after="40"/>
            </w:pPr>
            <w:r>
              <w:rPr>
                <w:sz w:val="18"/>
              </w:rPr>
              <w:t>Textile production support; traditional practice.</w:t>
            </w:r>
          </w:p>
        </w:tc>
        <w:tc>
          <w:tcPr>
            <w:tcW w:type="dxa" w:w="2592"/>
            <w:shd w:fill="FFFFFF"/>
          </w:tcPr>
          <w:p>
            <w:pPr>
              <w:spacing w:after="40"/>
            </w:pPr>
            <w:r>
              <w:rPr>
                <w:sz w:val="18"/>
              </w:rPr>
              <w:t>DECLINING but surviving in some units.</w:t>
            </w:r>
          </w:p>
        </w:tc>
        <w:tc>
          <w:tcPr>
            <w:tcW w:type="dxa" w:w="2592"/>
            <w:shd w:fill="FFFFFF"/>
          </w:tcPr>
          <w:p>
            <w:pPr>
              <w:spacing w:after="40"/>
            </w:pPr>
            <w:r>
              <w:rPr>
                <w:sz w:val="18"/>
              </w:rPr>
              <w:t>Dyer specialist groups.</w:t>
            </w:r>
          </w:p>
        </w:tc>
        <w:tc>
          <w:tcPr>
            <w:tcW w:type="dxa" w:w="2160"/>
            <w:shd w:fill="FFFFFF"/>
          </w:tcPr>
          <w:p>
            <w:pPr>
              <w:spacing w:after="40"/>
            </w:pPr>
            <w:r>
              <w:rPr>
                <w:sz w:val="18"/>
              </w:rPr>
              <w:t>Dyed yarn for weaving.</w:t>
            </w:r>
          </w:p>
        </w:tc>
        <w:tc>
          <w:tcPr>
            <w:tcW w:type="dxa" w:w="1728"/>
            <w:shd w:fill="FFFFFF"/>
          </w:tcPr>
          <w:p>
            <w:pPr>
              <w:spacing w:after="40"/>
            </w:pPr>
            <w:r>
              <w:rPr>
                <w:sz w:val="18"/>
              </w:rPr>
              <w:t>CHA-S005</w:t>
            </w:r>
          </w:p>
        </w:tc>
      </w:tr>
      <w:tr>
        <w:tc>
          <w:tcPr>
            <w:tcW w:type="dxa" w:w="2160"/>
            <w:shd w:fill="F5F3FF"/>
          </w:tcPr>
          <w:p>
            <w:pPr>
              <w:spacing w:after="40"/>
            </w:pPr>
            <w:r>
              <w:rPr>
                <w:sz w:val="18"/>
              </w:rPr>
              <w:t>Stone Carving</w:t>
            </w:r>
          </w:p>
        </w:tc>
        <w:tc>
          <w:tcPr>
            <w:tcW w:type="dxa" w:w="2880"/>
            <w:shd w:fill="F5F3FF"/>
          </w:tcPr>
          <w:p>
            <w:pPr>
              <w:spacing w:after="40"/>
            </w:pPr>
            <w:r>
              <w:rPr>
                <w:sz w:val="18"/>
              </w:rPr>
              <w:t>Historical — medieval monuments document the tradition.</w:t>
            </w:r>
          </w:p>
        </w:tc>
        <w:tc>
          <w:tcPr>
            <w:tcW w:type="dxa" w:w="2592"/>
            <w:shd w:fill="F5F3FF"/>
          </w:tcPr>
          <w:p>
            <w:pPr>
              <w:spacing w:after="40"/>
            </w:pPr>
            <w:r>
              <w:rPr>
                <w:sz w:val="18"/>
              </w:rPr>
              <w:t>HISTORICAL; contemporary extent uncertain.</w:t>
            </w:r>
          </w:p>
        </w:tc>
        <w:tc>
          <w:tcPr>
            <w:tcW w:type="dxa" w:w="2592"/>
            <w:shd w:fill="F5F3FF"/>
          </w:tcPr>
          <w:p>
            <w:pPr>
              <w:spacing w:after="40"/>
            </w:pPr>
            <w:r>
              <w:rPr>
                <w:sz w:val="18"/>
              </w:rPr>
              <w:t>Traditional stone-mason communities.</w:t>
            </w:r>
          </w:p>
        </w:tc>
        <w:tc>
          <w:tcPr>
            <w:tcW w:type="dxa" w:w="2160"/>
            <w:shd w:fill="F5F3FF"/>
          </w:tcPr>
          <w:p>
            <w:pPr>
              <w:spacing w:after="40"/>
            </w:pPr>
            <w:r>
              <w:rPr>
                <w:sz w:val="18"/>
              </w:rPr>
              <w:t>Architectural elements; decorative carving.</w:t>
            </w:r>
          </w:p>
        </w:tc>
        <w:tc>
          <w:tcPr>
            <w:tcW w:type="dxa" w:w="1728"/>
            <w:shd w:fill="F5F3FF"/>
          </w:tcPr>
          <w:p>
            <w:pPr>
              <w:spacing w:after="40"/>
            </w:pPr>
            <w:r>
              <w:rPr>
                <w:sz w:val="18"/>
              </w:rPr>
              <w:t>CHA-S001, CHA-S011</w:t>
            </w:r>
          </w:p>
        </w:tc>
      </w:tr>
      <w:tr>
        <w:tc>
          <w:tcPr>
            <w:tcW w:type="dxa" w:w="2160"/>
            <w:shd w:fill="FFFFFF"/>
          </w:tcPr>
          <w:p>
            <w:pPr>
              <w:spacing w:after="40"/>
            </w:pPr>
            <w:r>
              <w:rPr>
                <w:sz w:val="18"/>
              </w:rPr>
              <w:t>Pottery</w:t>
            </w:r>
          </w:p>
        </w:tc>
        <w:tc>
          <w:tcPr>
            <w:tcW w:type="dxa" w:w="2880"/>
            <w:shd w:fill="FFFFFF"/>
          </w:tcPr>
          <w:p>
            <w:pPr>
              <w:spacing w:after="40"/>
            </w:pPr>
            <w:r>
              <w:rPr>
                <w:sz w:val="18"/>
              </w:rPr>
              <w:t>Regional Bundelkhand tradition — not specifically documented for Chanderi town.</w:t>
            </w:r>
          </w:p>
        </w:tc>
        <w:tc>
          <w:tcPr>
            <w:tcW w:type="dxa" w:w="2592"/>
            <w:shd w:fill="FFFFFF"/>
          </w:tcPr>
          <w:p>
            <w:pPr>
              <w:spacing w:after="40"/>
            </w:pPr>
            <w:r>
              <w:rPr>
                <w:sz w:val="18"/>
              </w:rPr>
              <w:t>REGION-LEVEL (not confirmed Chanderi-specific).</w:t>
            </w:r>
          </w:p>
        </w:tc>
        <w:tc>
          <w:tcPr>
            <w:tcW w:type="dxa" w:w="2592"/>
            <w:shd w:fill="FFFFFF"/>
          </w:tcPr>
          <w:p>
            <w:pPr>
              <w:spacing w:after="40"/>
            </w:pPr>
            <w:r>
              <w:rPr>
                <w:sz w:val="18"/>
              </w:rPr>
              <w:t>Potter communities (wider region).</w:t>
            </w:r>
          </w:p>
        </w:tc>
        <w:tc>
          <w:tcPr>
            <w:tcW w:type="dxa" w:w="2160"/>
            <w:shd w:fill="FFFFFF"/>
          </w:tcPr>
          <w:p>
            <w:pPr>
              <w:spacing w:after="40"/>
            </w:pPr>
            <w:r>
              <w:rPr>
                <w:sz w:val="18"/>
              </w:rPr>
              <w:t>Utilitarian and decorative pottery.</w:t>
            </w:r>
          </w:p>
        </w:tc>
        <w:tc>
          <w:tcPr>
            <w:tcW w:type="dxa" w:w="1728"/>
            <w:shd w:fill="FFFFFF"/>
          </w:tcPr>
          <w:p>
            <w:pPr>
              <w:spacing w:after="40"/>
            </w:pPr>
            <w:r>
              <w:rPr>
                <w:sz w:val="18"/>
              </w:rPr>
              <w:t>Wider Bundelkhand source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