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29. Food, Cuisine &amp; Agricultural Traditions</w:t>
      </w:r>
    </w:p>
    <w:p>
      <w:pPr>
        <w:spacing w:before="280" w:after="120"/>
      </w:pPr>
      <w:r>
        <w:rPr>
          <w:rFonts w:ascii="Arial" w:hAnsi="Arial"/>
          <w:b/>
          <w:color w:val="6D28D9"/>
          <w:sz w:val="30"/>
        </w:rPr>
        <w:t>1. Chanderi's Food Culture</w:t>
      </w:r>
    </w:p>
    <w:p>
      <w:pPr>
        <w:spacing w:after="120" w:line="276" w:lineRule="auto"/>
      </w:pPr>
      <w:r>
        <w:rPr>
          <w:i w:val="0"/>
        </w:rPr>
        <w:t>Chanderi's food culture is rooted in the semi-arid agricultural economy of the Bundelkhand-Malwa region. The town's cuisine reflects the staple grains, pulses, and vegetables of this zone, shaped by its Hindu, Muslim, and Jain communities and the seasonal rhythms of a predominantly agricultural hinterland [Source: CHA-S004].</w:t>
      </w: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[FOOD DOCUMENTATION: REGIONAL CONTEXT NOTE]</w:t>
              <w:br/>
            </w:r>
            <w:r>
              <w:rPr>
                <w:sz w:val="19"/>
              </w:rPr>
              <w:t>Specific Chanderi-only food traditions are difficult to isolate from the wider Bundelkhand and Malwa food cultures. This section documents food traditions reliably associated with Chanderi and its immediate region, noting wider regional context where appropriate.</w:t>
            </w:r>
          </w:p>
        </w:tc>
      </w:tr>
    </w:tbl>
    <w:p>
      <w:pPr>
        <w:spacing w:after="80"/>
      </w:pPr>
    </w:p>
    <w:p>
      <w:pPr>
        <w:spacing w:before="200" w:after="80"/>
      </w:pPr>
      <w:r>
        <w:rPr>
          <w:rFonts w:ascii="Arial" w:hAnsi="Arial"/>
          <w:b/>
          <w:color w:val="78350F"/>
          <w:sz w:val="26"/>
        </w:rPr>
        <w:t>2. Staple Foods &amp; Agricultural Base</w:t>
      </w:r>
    </w:p>
    <w:p>
      <w:pPr>
        <w:pStyle w:val="ListBullet"/>
        <w:spacing w:after="80" w:line="276" w:lineRule="auto"/>
      </w:pPr>
      <w:r>
        <w:rPr>
          <w:b/>
          <w:color w:val="78350F"/>
        </w:rPr>
        <w:t xml:space="preserve">Wheat — Primary Staple: </w:t>
      </w:r>
      <w:r>
        <w:t>Wheat (gehun) is the primary staple crop of the Chanderi region — grown in the Rabi (winter-spring) season. Roti (unleavened flatbread) made from wheat flour is the daily bread.</w:t>
      </w:r>
    </w:p>
    <w:p>
      <w:pPr>
        <w:pStyle w:val="ListBullet"/>
        <w:spacing w:after="80" w:line="276" w:lineRule="auto"/>
      </w:pPr>
      <w:r>
        <w:rPr>
          <w:b/>
          <w:color w:val="78350F"/>
        </w:rPr>
        <w:t xml:space="preserve">Jowar &amp; Bajra: </w:t>
      </w:r>
      <w:r>
        <w:t>Jowar (sorghum) and bajra (pearl millet) — hardy drought-resistant grains historically important in the semi-arid Bundelkhand landscape. Still consumed as rotis and porridges.</w:t>
      </w:r>
    </w:p>
    <w:p>
      <w:pPr>
        <w:pStyle w:val="ListBullet"/>
        <w:spacing w:after="80" w:line="276" w:lineRule="auto"/>
      </w:pPr>
      <w:r>
        <w:rPr>
          <w:b/>
          <w:color w:val="78350F"/>
        </w:rPr>
        <w:t xml:space="preserve">Pulses &amp; Lentils: </w:t>
      </w:r>
      <w:r>
        <w:t>Chana dal (split chickpea), toor dal, and urad dal are dietary staples providing protein in a primarily grain-based diet.</w:t>
      </w:r>
    </w:p>
    <w:p>
      <w:pPr>
        <w:pStyle w:val="ListBullet"/>
        <w:spacing w:after="80" w:line="276" w:lineRule="auto"/>
      </w:pPr>
      <w:r>
        <w:rPr>
          <w:b/>
          <w:color w:val="78350F"/>
        </w:rPr>
        <w:t xml:space="preserve">Local Vegetables: </w:t>
      </w:r>
      <w:r>
        <w:t>Locally grown vegetables: seasonal brinjal, bottle gourd, ridge gourd, fenugreek (methi), mustard greens, garlic, and onion.</w:t>
      </w:r>
    </w:p>
    <w:p>
      <w:pPr>
        <w:spacing w:before="200" w:after="80"/>
      </w:pPr>
      <w:r>
        <w:rPr>
          <w:rFonts w:ascii="Arial" w:hAnsi="Arial"/>
          <w:b/>
          <w:color w:val="78350F"/>
          <w:sz w:val="26"/>
        </w:rPr>
        <w:t>3. Festival &amp; Ceremonial Foods</w:t>
      </w:r>
    </w:p>
    <w:tbl>
      <w:tblPr>
        <w:tblW w:type="auto" w:w="0"/>
        <w:jc w:val="center"/>
        <w:tblLook w:firstColumn="1" w:firstRow="1" w:lastColumn="0" w:lastRow="0" w:noHBand="0" w:noVBand="1" w:val="04A0"/>
      </w:tblPr>
      <w:tblGrid>
        <w:gridCol w:w="2340"/>
        <w:gridCol w:w="2340"/>
        <w:gridCol w:w="2340"/>
        <w:gridCol w:w="2340"/>
      </w:tblGrid>
      <w:tr>
        <w:tc>
          <w:tcPr>
            <w:tcW w:type="dxa" w:w="2160"/>
            <w:shd w:fill="6D28D9"/>
          </w:tcPr>
          <w:p>
            <w:pPr>
              <w:spacing w:after="40"/>
              <w:jc w:val="left"/>
            </w:pPr>
            <w:r>
              <w:rPr>
                <w:rFonts w:ascii="Arial" w:hAnsi="Arial"/>
                <w:b/>
                <w:color w:val="FFFFFF"/>
                <w:sz w:val="19"/>
              </w:rPr>
              <w:t>Food Item</w:t>
            </w:r>
          </w:p>
        </w:tc>
        <w:tc>
          <w:tcPr>
            <w:tcW w:type="dxa" w:w="2880"/>
            <w:shd w:fill="6D28D9"/>
          </w:tcPr>
          <w:p>
            <w:pPr>
              <w:spacing w:after="40"/>
              <w:jc w:val="left"/>
            </w:pPr>
            <w:r>
              <w:rPr>
                <w:rFonts w:ascii="Arial" w:hAnsi="Arial"/>
                <w:b/>
                <w:color w:val="FFFFFF"/>
                <w:sz w:val="19"/>
              </w:rPr>
              <w:t>Occasion / Community</w:t>
            </w:r>
          </w:p>
        </w:tc>
        <w:tc>
          <w:tcPr>
            <w:tcW w:type="dxa" w:w="3600"/>
            <w:shd w:fill="6D28D9"/>
          </w:tcPr>
          <w:p>
            <w:pPr>
              <w:spacing w:after="40"/>
              <w:jc w:val="left"/>
            </w:pPr>
            <w:r>
              <w:rPr>
                <w:rFonts w:ascii="Arial" w:hAnsi="Arial"/>
                <w:b/>
                <w:color w:val="FFFFFF"/>
                <w:sz w:val="19"/>
              </w:rPr>
              <w:t>Description</w:t>
            </w:r>
          </w:p>
        </w:tc>
        <w:tc>
          <w:tcPr>
            <w:tcW w:type="dxa" w:w="3168"/>
            <w:shd w:fill="6D28D9"/>
          </w:tcPr>
          <w:p>
            <w:pPr>
              <w:spacing w:after="40"/>
              <w:jc w:val="left"/>
            </w:pPr>
            <w:r>
              <w:rPr>
                <w:rFonts w:ascii="Arial" w:hAnsi="Arial"/>
                <w:b/>
                <w:color w:val="FFFFFF"/>
                <w:sz w:val="19"/>
              </w:rPr>
              <w:t>Chanderi-Specific or Regional?</w:t>
            </w:r>
          </w:p>
        </w:tc>
      </w:tr>
      <w:tr>
        <w:tc>
          <w:tcPr>
            <w:tcW w:type="dxa" w:w="2160"/>
            <w:shd w:fill="FFFFFF"/>
          </w:tcPr>
          <w:p>
            <w:pPr>
              <w:spacing w:after="40"/>
            </w:pPr>
            <w:r>
              <w:rPr>
                <w:sz w:val="18"/>
              </w:rPr>
              <w:t>Churma</w:t>
            </w:r>
          </w:p>
        </w:tc>
        <w:tc>
          <w:tcPr>
            <w:tcW w:type="dxa" w:w="2880"/>
            <w:shd w:fill="FFFFFF"/>
          </w:tcPr>
          <w:p>
            <w:pPr>
              <w:spacing w:after="40"/>
            </w:pPr>
            <w:r>
              <w:rPr>
                <w:sz w:val="18"/>
              </w:rPr>
              <w:t>Holi; harvest festivals; Hindu community feasts.</w:t>
            </w:r>
          </w:p>
        </w:tc>
        <w:tc>
          <w:tcPr>
            <w:tcW w:type="dxa" w:w="3600"/>
            <w:shd w:fill="FFFFFF"/>
          </w:tcPr>
          <w:p>
            <w:pPr>
              <w:spacing w:after="40"/>
            </w:pPr>
            <w:r>
              <w:rPr>
                <w:sz w:val="18"/>
              </w:rPr>
              <w:t>Coarsely ground wheat flour balls roasted in ghee and crushed with sugar or jaggery.</w:t>
            </w:r>
          </w:p>
        </w:tc>
        <w:tc>
          <w:tcPr>
            <w:tcW w:type="dxa" w:w="3168"/>
            <w:shd w:fill="FFFFFF"/>
          </w:tcPr>
          <w:p>
            <w:pPr>
              <w:spacing w:after="40"/>
            </w:pPr>
            <w:r>
              <w:rPr>
                <w:sz w:val="18"/>
              </w:rPr>
              <w:t>Bundelkhand regional tradition — widely practiced in Chanderi.</w:t>
            </w:r>
          </w:p>
        </w:tc>
      </w:tr>
      <w:tr>
        <w:tc>
          <w:tcPr>
            <w:tcW w:type="dxa" w:w="2160"/>
            <w:shd w:fill="F5F3FF"/>
          </w:tcPr>
          <w:p>
            <w:pPr>
              <w:spacing w:after="40"/>
            </w:pPr>
            <w:r>
              <w:rPr>
                <w:sz w:val="18"/>
              </w:rPr>
              <w:t>Dal Baati</w:t>
            </w:r>
          </w:p>
        </w:tc>
        <w:tc>
          <w:tcPr>
            <w:tcW w:type="dxa" w:w="2880"/>
            <w:shd w:fill="F5F3FF"/>
          </w:tcPr>
          <w:p>
            <w:pPr>
              <w:spacing w:after="40"/>
            </w:pPr>
            <w:r>
              <w:rPr>
                <w:sz w:val="18"/>
              </w:rPr>
              <w:t>Festive meals; religious occasions; Hindu community.</w:t>
            </w:r>
          </w:p>
        </w:tc>
        <w:tc>
          <w:tcPr>
            <w:tcW w:type="dxa" w:w="3600"/>
            <w:shd w:fill="F5F3FF"/>
          </w:tcPr>
          <w:p>
            <w:pPr>
              <w:spacing w:after="40"/>
            </w:pPr>
            <w:r>
              <w:rPr>
                <w:sz w:val="18"/>
              </w:rPr>
              <w:t>Hard wheat dough balls (baatis) baked in fire embers / oven; served with dal (lentil curry) and churma.</w:t>
            </w:r>
          </w:p>
        </w:tc>
        <w:tc>
          <w:tcPr>
            <w:tcW w:type="dxa" w:w="3168"/>
            <w:shd w:fill="F5F3FF"/>
          </w:tcPr>
          <w:p>
            <w:pPr>
              <w:spacing w:after="40"/>
            </w:pPr>
            <w:r>
              <w:rPr>
                <w:sz w:val="18"/>
              </w:rPr>
              <w:t>Wider Bundelkhand-Rajasthan tradition; common in Chanderi.</w:t>
            </w:r>
          </w:p>
        </w:tc>
      </w:tr>
      <w:tr>
        <w:tc>
          <w:tcPr>
            <w:tcW w:type="dxa" w:w="2160"/>
            <w:shd w:fill="FFFFFF"/>
          </w:tcPr>
          <w:p>
            <w:pPr>
              <w:spacing w:after="40"/>
            </w:pPr>
            <w:r>
              <w:rPr>
                <w:sz w:val="18"/>
              </w:rPr>
              <w:t>Kheer (Rice Pudding)</w:t>
            </w:r>
          </w:p>
        </w:tc>
        <w:tc>
          <w:tcPr>
            <w:tcW w:type="dxa" w:w="2880"/>
            <w:shd w:fill="FFFFFF"/>
          </w:tcPr>
          <w:p>
            <w:pPr>
              <w:spacing w:after="40"/>
            </w:pPr>
            <w:r>
              <w:rPr>
                <w:sz w:val="18"/>
              </w:rPr>
              <w:t>Religious festivals across communities.</w:t>
            </w:r>
          </w:p>
        </w:tc>
        <w:tc>
          <w:tcPr>
            <w:tcW w:type="dxa" w:w="3600"/>
            <w:shd w:fill="FFFFFF"/>
          </w:tcPr>
          <w:p>
            <w:pPr>
              <w:spacing w:after="40"/>
            </w:pPr>
            <w:r>
              <w:rPr>
                <w:sz w:val="18"/>
              </w:rPr>
              <w:t>Rice cooked in milk with sugar; served as prasad at temples.</w:t>
            </w:r>
          </w:p>
        </w:tc>
        <w:tc>
          <w:tcPr>
            <w:tcW w:type="dxa" w:w="3168"/>
            <w:shd w:fill="FFFFFF"/>
          </w:tcPr>
          <w:p>
            <w:pPr>
              <w:spacing w:after="40"/>
            </w:pPr>
            <w:r>
              <w:rPr>
                <w:sz w:val="18"/>
              </w:rPr>
              <w:t>Pan-Indian; widely practiced in Chanderi on festival occasions.</w:t>
            </w:r>
          </w:p>
        </w:tc>
      </w:tr>
      <w:tr>
        <w:tc>
          <w:tcPr>
            <w:tcW w:type="dxa" w:w="2160"/>
            <w:shd w:fill="F5F3FF"/>
          </w:tcPr>
          <w:p>
            <w:pPr>
              <w:spacing w:after="40"/>
            </w:pPr>
            <w:r>
              <w:rPr>
                <w:sz w:val="18"/>
              </w:rPr>
              <w:t>Sevai (Vermicelli Kheer)</w:t>
            </w:r>
          </w:p>
        </w:tc>
        <w:tc>
          <w:tcPr>
            <w:tcW w:type="dxa" w:w="2880"/>
            <w:shd w:fill="F5F3FF"/>
          </w:tcPr>
          <w:p>
            <w:pPr>
              <w:spacing w:after="40"/>
            </w:pPr>
            <w:r>
              <w:rPr>
                <w:sz w:val="18"/>
              </w:rPr>
              <w:t>Eid; Muslim community celebrations.</w:t>
            </w:r>
          </w:p>
        </w:tc>
        <w:tc>
          <w:tcPr>
            <w:tcW w:type="dxa" w:w="3600"/>
            <w:shd w:fill="F5F3FF"/>
          </w:tcPr>
          <w:p>
            <w:pPr>
              <w:spacing w:after="40"/>
            </w:pPr>
            <w:r>
              <w:rPr>
                <w:sz w:val="18"/>
              </w:rPr>
              <w:t>Fine wheat vermicelli cooked in sweetened milk with cardamom and dry fruits.</w:t>
            </w:r>
          </w:p>
        </w:tc>
        <w:tc>
          <w:tcPr>
            <w:tcW w:type="dxa" w:w="3168"/>
            <w:shd w:fill="F5F3FF"/>
          </w:tcPr>
          <w:p>
            <w:pPr>
              <w:spacing w:after="40"/>
            </w:pPr>
            <w:r>
              <w:rPr>
                <w:sz w:val="18"/>
              </w:rPr>
              <w:t>Practiced in Chanderi's Muslim community.</w:t>
            </w:r>
          </w:p>
        </w:tc>
      </w:tr>
      <w:tr>
        <w:tc>
          <w:tcPr>
            <w:tcW w:type="dxa" w:w="2160"/>
            <w:shd w:fill="FFFFFF"/>
          </w:tcPr>
          <w:p>
            <w:pPr>
              <w:spacing w:after="40"/>
            </w:pPr>
            <w:r>
              <w:rPr>
                <w:sz w:val="18"/>
              </w:rPr>
              <w:t>Thekua</w:t>
            </w:r>
          </w:p>
        </w:tc>
        <w:tc>
          <w:tcPr>
            <w:tcW w:type="dxa" w:w="2880"/>
            <w:shd w:fill="FFFFFF"/>
          </w:tcPr>
          <w:p>
            <w:pPr>
              <w:spacing w:after="40"/>
            </w:pPr>
            <w:r>
              <w:rPr>
                <w:sz w:val="18"/>
              </w:rPr>
              <w:t>Chhath Puja (if practiced locally); seasonal sweets.</w:t>
            </w:r>
          </w:p>
        </w:tc>
        <w:tc>
          <w:tcPr>
            <w:tcW w:type="dxa" w:w="3600"/>
            <w:shd w:fill="FFFFFF"/>
          </w:tcPr>
          <w:p>
            <w:pPr>
              <w:spacing w:after="40"/>
            </w:pPr>
            <w:r>
              <w:rPr>
                <w:sz w:val="18"/>
              </w:rPr>
              <w:t>Deep-fried sweet wheat-flour cookies made with jaggery.</w:t>
            </w:r>
          </w:p>
        </w:tc>
        <w:tc>
          <w:tcPr>
            <w:tcW w:type="dxa" w:w="3168"/>
            <w:shd w:fill="FFFFFF"/>
          </w:tcPr>
          <w:p>
            <w:pPr>
              <w:spacing w:after="40"/>
            </w:pPr>
            <w:r>
              <w:rPr>
                <w:sz w:val="18"/>
              </w:rPr>
              <w:t>Bundelkhand regional food.</w:t>
            </w:r>
          </w:p>
        </w:tc>
      </w:tr>
      <w:tr>
        <w:tc>
          <w:tcPr>
            <w:tcW w:type="dxa" w:w="2160"/>
            <w:shd w:fill="F5F3FF"/>
          </w:tcPr>
          <w:p>
            <w:pPr>
              <w:spacing w:after="40"/>
            </w:pPr>
            <w:r>
              <w:rPr>
                <w:sz w:val="18"/>
              </w:rPr>
              <w:t>Maheri</w:t>
            </w:r>
          </w:p>
        </w:tc>
        <w:tc>
          <w:tcPr>
            <w:tcW w:type="dxa" w:w="2880"/>
            <w:shd w:fill="F5F3FF"/>
          </w:tcPr>
          <w:p>
            <w:pPr>
              <w:spacing w:after="40"/>
            </w:pPr>
            <w:r>
              <w:rPr>
                <w:sz w:val="18"/>
              </w:rPr>
              <w:t>Local name for millet-based porridge; daily food.</w:t>
            </w:r>
          </w:p>
        </w:tc>
        <w:tc>
          <w:tcPr>
            <w:tcW w:type="dxa" w:w="3600"/>
            <w:shd w:fill="F5F3FF"/>
          </w:tcPr>
          <w:p>
            <w:pPr>
              <w:spacing w:after="40"/>
            </w:pPr>
            <w:r>
              <w:rPr>
                <w:sz w:val="18"/>
              </w:rPr>
              <w:t>Coarse jowar or bajra porridge — traditional food of farming communities.</w:t>
            </w:r>
          </w:p>
        </w:tc>
        <w:tc>
          <w:tcPr>
            <w:tcW w:type="dxa" w:w="3168"/>
            <w:shd w:fill="F5F3FF"/>
          </w:tcPr>
          <w:p>
            <w:pPr>
              <w:spacing w:after="40"/>
            </w:pPr>
            <w:r>
              <w:rPr>
                <w:sz w:val="18"/>
              </w:rPr>
              <w:t>Regional Bundelkhand staple.</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