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31. Folk Music, Dance &amp; Performance</w:t>
      </w:r>
    </w:p>
    <w:p>
      <w:pPr>
        <w:spacing w:before="280" w:after="120"/>
      </w:pPr>
      <w:r>
        <w:rPr>
          <w:rFonts w:ascii="Arial" w:hAnsi="Arial"/>
          <w:b/>
          <w:color w:val="6D28D9"/>
          <w:sz w:val="30"/>
        </w:rPr>
        <w:t>1. Chanderi in the Bundelkhand Folk Tradition</w:t>
      </w:r>
    </w:p>
    <w:p>
      <w:pPr>
        <w:spacing w:after="120" w:line="276" w:lineRule="auto"/>
      </w:pPr>
      <w:r>
        <w:rPr>
          <w:i w:val="0"/>
        </w:rPr>
        <w:t>Chanderi's folk music and performance traditions are part of the broader Bundelkhand cultural zone. Bundelkhand has a rich tradition of folk music, poetry, and martial songs associated with its Rajput heritage. Specific folk forms practiced within Chanderi town itself require field documentation to distinguish from the wider regional tradition [Source: CHA-S004].</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[FOLK CULTURE: ATTRIBUTION CAUTION]</w:t>
              <w:br/>
            </w:r>
            <w:r>
              <w:rPr>
                <w:sz w:val="19"/>
              </w:rPr>
              <w:t>Attributing a specific folk music or dance tradition as exclusively Chanderi-specific without field evidence risks overgeneralization. The following documents traditions documented for the Chanderi-Bundelkhand region, with Chanderi-specific evidence noted where available.</w:t>
            </w:r>
          </w:p>
        </w:tc>
      </w:tr>
    </w:tbl>
    <w:p>
      <w:pPr>
        <w:spacing w:after="80"/>
      </w:pPr>
    </w:p>
    <w:p>
      <w:pPr>
        <w:spacing w:before="200" w:after="80"/>
      </w:pPr>
      <w:r>
        <w:rPr>
          <w:rFonts w:ascii="Arial" w:hAnsi="Arial"/>
          <w:b/>
          <w:color w:val="78350F"/>
          <w:sz w:val="26"/>
        </w:rPr>
        <w:t>2. Bundelkhand Folk Music Traditions (Regional Context)</w:t>
      </w:r>
    </w:p>
    <w:p>
      <w:pPr>
        <w:pStyle w:val="ListBullet"/>
        <w:spacing w:after="80" w:line="276" w:lineRule="auto"/>
      </w:pPr>
      <w:r>
        <w:rPr>
          <w:b/>
          <w:color w:val="78350F"/>
        </w:rPr>
        <w:t xml:space="preserve">Alha Epic Tradition: </w:t>
      </w:r>
      <w:r>
        <w:t>Alha — the most celebrated oral epic of Bundelkhand, narrating the heroic deeds of Alha and Udal (warriors of the Chandela period). Performed by traditional singer-poets (Alha singers). Whether Alha performances are specifically practiced in Chanderi requires field verification.</w:t>
      </w:r>
    </w:p>
    <w:p>
      <w:pPr>
        <w:pStyle w:val="ListBullet"/>
        <w:spacing w:after="80" w:line="276" w:lineRule="auto"/>
      </w:pPr>
      <w:r>
        <w:rPr>
          <w:b/>
          <w:color w:val="78350F"/>
        </w:rPr>
        <w:t xml:space="preserve">Birha — Songs of Separation: </w:t>
      </w:r>
      <w:r>
        <w:t>Birha — a lyrical folk song genre of separation and longing; widely practiced in Bundelkhand. Associated with the experience of seasonal male migration for work — a theme relevant to weaver communities.</w:t>
      </w:r>
    </w:p>
    <w:p>
      <w:pPr>
        <w:pStyle w:val="ListBullet"/>
        <w:spacing w:after="80" w:line="276" w:lineRule="auto"/>
      </w:pPr>
      <w:r>
        <w:rPr>
          <w:b/>
          <w:color w:val="78350F"/>
        </w:rPr>
        <w:t xml:space="preserve">Kajri — Monsoon Songs: </w:t>
      </w:r>
      <w:r>
        <w:t>Kajri — monsoon season songs sung primarily by women; celebrating the arrival of rains and the beauty of the season. Kajri is practiced across the Bundelkhand-UP belt.</w:t>
      </w:r>
    </w:p>
    <w:p>
      <w:pPr>
        <w:pStyle w:val="ListBullet"/>
        <w:spacing w:after="80" w:line="276" w:lineRule="auto"/>
      </w:pPr>
      <w:r>
        <w:rPr>
          <w:b/>
          <w:color w:val="78350F"/>
        </w:rPr>
        <w:t xml:space="preserve">Rai Dance (Bundelkhand): </w:t>
      </w:r>
      <w:r>
        <w:t>Rai dance — a folk dance form of Bundelkhand associated with the Bediya community; performed at celebrations and fairs. Whether Rai dance performers are present in or around Chanderi requires field survey.</w:t>
      </w:r>
    </w:p>
    <w:p>
      <w:pPr>
        <w:spacing w:before="200" w:after="80"/>
      </w:pPr>
      <w:r>
        <w:rPr>
          <w:rFonts w:ascii="Arial" w:hAnsi="Arial"/>
          <w:b/>
          <w:color w:val="78350F"/>
          <w:sz w:val="26"/>
        </w:rPr>
        <w:t>3. Traditional Musical Instruments of the Region</w:t>
      </w:r>
    </w:p>
    <w:tbl>
      <w:tblPr>
        <w:tblW w:type="auto" w:w="0"/>
        <w:jc w:val="center"/>
        <w:tblLook w:firstColumn="1" w:firstRow="1" w:lastColumn="0" w:lastRow="0" w:noHBand="0" w:noVBand="1" w:val="04A0"/>
      </w:tblPr>
      <w:tblGrid>
        <w:gridCol w:w="2340"/>
        <w:gridCol w:w="2340"/>
        <w:gridCol w:w="2340"/>
        <w:gridCol w:w="2340"/>
      </w:tblGrid>
      <w:tr>
        <w:tc>
          <w:tcPr>
            <w:tcW w:type="dxa" w:w="2592"/>
            <w:shd w:fill="6D28D9"/>
          </w:tcPr>
          <w:p>
            <w:pPr>
              <w:spacing w:after="40"/>
              <w:jc w:val="left"/>
            </w:pPr>
            <w:r>
              <w:rPr>
                <w:rFonts w:ascii="Arial" w:hAnsi="Arial"/>
                <w:b/>
                <w:color w:val="FFFFFF"/>
                <w:sz w:val="19"/>
              </w:rPr>
              <w:t>Instrument</w:t>
            </w:r>
          </w:p>
        </w:tc>
        <w:tc>
          <w:tcPr>
            <w:tcW w:type="dxa" w:w="3168"/>
            <w:shd w:fill="6D28D9"/>
          </w:tcPr>
          <w:p>
            <w:pPr>
              <w:spacing w:after="40"/>
              <w:jc w:val="left"/>
            </w:pPr>
            <w:r>
              <w:rPr>
                <w:rFonts w:ascii="Arial" w:hAnsi="Arial"/>
                <w:b/>
                <w:color w:val="FFFFFF"/>
                <w:sz w:val="19"/>
              </w:rPr>
              <w:t>Type</w:t>
            </w:r>
          </w:p>
        </w:tc>
        <w:tc>
          <w:tcPr>
            <w:tcW w:type="dxa" w:w="3600"/>
            <w:shd w:fill="6D28D9"/>
          </w:tcPr>
          <w:p>
            <w:pPr>
              <w:spacing w:after="40"/>
              <w:jc w:val="left"/>
            </w:pPr>
            <w:r>
              <w:rPr>
                <w:rFonts w:ascii="Arial" w:hAnsi="Arial"/>
                <w:b/>
                <w:color w:val="FFFFFF"/>
                <w:sz w:val="19"/>
              </w:rPr>
              <w:t>Tradition</w:t>
            </w:r>
          </w:p>
        </w:tc>
        <w:tc>
          <w:tcPr>
            <w:tcW w:type="dxa" w:w="2880"/>
            <w:shd w:fill="6D28D9"/>
          </w:tcPr>
          <w:p>
            <w:pPr>
              <w:spacing w:after="40"/>
              <w:jc w:val="left"/>
            </w:pPr>
            <w:r>
              <w:rPr>
                <w:rFonts w:ascii="Arial" w:hAnsi="Arial"/>
                <w:b/>
                <w:color w:val="FFFFFF"/>
                <w:sz w:val="19"/>
              </w:rPr>
              <w:t>Associated With</w:t>
            </w:r>
          </w:p>
        </w:tc>
      </w:tr>
      <w:tr>
        <w:tc>
          <w:tcPr>
            <w:tcW w:type="dxa" w:w="2592"/>
            <w:shd w:fill="FFFFFF"/>
          </w:tcPr>
          <w:p>
            <w:pPr>
              <w:spacing w:after="40"/>
            </w:pPr>
            <w:r>
              <w:rPr>
                <w:sz w:val="18"/>
              </w:rPr>
              <w:t>Dholak</w:t>
            </w:r>
          </w:p>
        </w:tc>
        <w:tc>
          <w:tcPr>
            <w:tcW w:type="dxa" w:w="3168"/>
            <w:shd w:fill="FFFFFF"/>
          </w:tcPr>
          <w:p>
            <w:pPr>
              <w:spacing w:after="40"/>
            </w:pPr>
            <w:r>
              <w:rPr>
                <w:sz w:val="18"/>
              </w:rPr>
              <w:t>Two-headed drum (membranophone)</w:t>
            </w:r>
          </w:p>
        </w:tc>
        <w:tc>
          <w:tcPr>
            <w:tcW w:type="dxa" w:w="3600"/>
            <w:shd w:fill="FFFFFF"/>
          </w:tcPr>
          <w:p>
            <w:pPr>
              <w:spacing w:after="40"/>
            </w:pPr>
            <w:r>
              <w:rPr>
                <w:sz w:val="18"/>
              </w:rPr>
              <w:t>Pan-Indian; widely used in Bundelkhand folk music.</w:t>
            </w:r>
          </w:p>
        </w:tc>
        <w:tc>
          <w:tcPr>
            <w:tcW w:type="dxa" w:w="2880"/>
            <w:shd w:fill="FFFFFF"/>
          </w:tcPr>
          <w:p>
            <w:pPr>
              <w:spacing w:after="40"/>
            </w:pPr>
            <w:r>
              <w:rPr>
                <w:sz w:val="18"/>
              </w:rPr>
              <w:t>Weddings; festivals; folk song accompaniment.</w:t>
            </w:r>
          </w:p>
        </w:tc>
      </w:tr>
      <w:tr>
        <w:tc>
          <w:tcPr>
            <w:tcW w:type="dxa" w:w="2592"/>
            <w:shd w:fill="F5F3FF"/>
          </w:tcPr>
          <w:p>
            <w:pPr>
              <w:spacing w:after="40"/>
            </w:pPr>
            <w:r>
              <w:rPr>
                <w:sz w:val="18"/>
              </w:rPr>
              <w:t>Harmonium (pump organ)</w:t>
            </w:r>
          </w:p>
        </w:tc>
        <w:tc>
          <w:tcPr>
            <w:tcW w:type="dxa" w:w="3168"/>
            <w:shd w:fill="F5F3FF"/>
          </w:tcPr>
          <w:p>
            <w:pPr>
              <w:spacing w:after="40"/>
            </w:pPr>
            <w:r>
              <w:rPr>
                <w:sz w:val="18"/>
              </w:rPr>
              <w:t>Reed keyboard (aerophone)</w:t>
            </w:r>
          </w:p>
        </w:tc>
        <w:tc>
          <w:tcPr>
            <w:tcW w:type="dxa" w:w="3600"/>
            <w:shd w:fill="F5F3FF"/>
          </w:tcPr>
          <w:p>
            <w:pPr>
              <w:spacing w:after="40"/>
            </w:pPr>
            <w:r>
              <w:rPr>
                <w:sz w:val="18"/>
              </w:rPr>
              <w:t>North Indian folk music accompaniment.</w:t>
            </w:r>
          </w:p>
        </w:tc>
        <w:tc>
          <w:tcPr>
            <w:tcW w:type="dxa" w:w="2880"/>
            <w:shd w:fill="F5F3FF"/>
          </w:tcPr>
          <w:p>
            <w:pPr>
              <w:spacing w:after="40"/>
            </w:pPr>
            <w:r>
              <w:rPr>
                <w:sz w:val="18"/>
              </w:rPr>
              <w:t>Bhajan; folk song; devotional music.</w:t>
            </w:r>
          </w:p>
        </w:tc>
      </w:tr>
      <w:tr>
        <w:tc>
          <w:tcPr>
            <w:tcW w:type="dxa" w:w="2592"/>
            <w:shd w:fill="FFFFFF"/>
          </w:tcPr>
          <w:p>
            <w:pPr>
              <w:spacing w:after="40"/>
            </w:pPr>
            <w:r>
              <w:rPr>
                <w:sz w:val="18"/>
              </w:rPr>
              <w:t>Sarangi</w:t>
            </w:r>
          </w:p>
        </w:tc>
        <w:tc>
          <w:tcPr>
            <w:tcW w:type="dxa" w:w="3168"/>
            <w:shd w:fill="FFFFFF"/>
          </w:tcPr>
          <w:p>
            <w:pPr>
              <w:spacing w:after="40"/>
            </w:pPr>
            <w:r>
              <w:rPr>
                <w:sz w:val="18"/>
              </w:rPr>
              <w:t>Bowed string instrument (chordophone)</w:t>
            </w:r>
          </w:p>
        </w:tc>
        <w:tc>
          <w:tcPr>
            <w:tcW w:type="dxa" w:w="3600"/>
            <w:shd w:fill="FFFFFF"/>
          </w:tcPr>
          <w:p>
            <w:pPr>
              <w:spacing w:after="40"/>
            </w:pPr>
            <w:r>
              <w:rPr>
                <w:sz w:val="18"/>
              </w:rPr>
              <w:t>Classical and folk Bundelkhand / Rajput tradition.</w:t>
            </w:r>
          </w:p>
        </w:tc>
        <w:tc>
          <w:tcPr>
            <w:tcW w:type="dxa" w:w="2880"/>
            <w:shd w:fill="FFFFFF"/>
          </w:tcPr>
          <w:p>
            <w:pPr>
              <w:spacing w:after="40"/>
            </w:pPr>
            <w:r>
              <w:rPr>
                <w:sz w:val="18"/>
              </w:rPr>
              <w:t>Alha performance; folk music accompaniment.</w:t>
            </w:r>
          </w:p>
        </w:tc>
      </w:tr>
      <w:tr>
        <w:tc>
          <w:tcPr>
            <w:tcW w:type="dxa" w:w="2592"/>
            <w:shd w:fill="F5F3FF"/>
          </w:tcPr>
          <w:p>
            <w:pPr>
              <w:spacing w:after="40"/>
            </w:pPr>
            <w:r>
              <w:rPr>
                <w:sz w:val="18"/>
              </w:rPr>
              <w:t>Manjeera (cymbals)</w:t>
            </w:r>
          </w:p>
        </w:tc>
        <w:tc>
          <w:tcPr>
            <w:tcW w:type="dxa" w:w="3168"/>
            <w:shd w:fill="F5F3FF"/>
          </w:tcPr>
          <w:p>
            <w:pPr>
              <w:spacing w:after="40"/>
            </w:pPr>
            <w:r>
              <w:rPr>
                <w:sz w:val="18"/>
              </w:rPr>
              <w:t>Percussion (idiophone)</w:t>
            </w:r>
          </w:p>
        </w:tc>
        <w:tc>
          <w:tcPr>
            <w:tcW w:type="dxa" w:w="3600"/>
            <w:shd w:fill="F5F3FF"/>
          </w:tcPr>
          <w:p>
            <w:pPr>
              <w:spacing w:after="40"/>
            </w:pPr>
            <w:r>
              <w:rPr>
                <w:sz w:val="18"/>
              </w:rPr>
              <w:t>Pan-Indian devotional tradition.</w:t>
            </w:r>
          </w:p>
        </w:tc>
        <w:tc>
          <w:tcPr>
            <w:tcW w:type="dxa" w:w="2880"/>
            <w:shd w:fill="F5F3FF"/>
          </w:tcPr>
          <w:p>
            <w:pPr>
              <w:spacing w:after="40"/>
            </w:pPr>
            <w:r>
              <w:rPr>
                <w:sz w:val="18"/>
              </w:rPr>
              <w:t>Bhajan; kirtan; temple worship.</w:t>
            </w:r>
          </w:p>
        </w:tc>
      </w:tr>
      <w:tr>
        <w:tc>
          <w:tcPr>
            <w:tcW w:type="dxa" w:w="2592"/>
            <w:shd w:fill="FFFFFF"/>
          </w:tcPr>
          <w:p>
            <w:pPr>
              <w:spacing w:after="40"/>
            </w:pPr>
            <w:r>
              <w:rPr>
                <w:sz w:val="18"/>
              </w:rPr>
              <w:t>Ektara</w:t>
            </w:r>
          </w:p>
        </w:tc>
        <w:tc>
          <w:tcPr>
            <w:tcW w:type="dxa" w:w="3168"/>
            <w:shd w:fill="FFFFFF"/>
          </w:tcPr>
          <w:p>
            <w:pPr>
              <w:spacing w:after="40"/>
            </w:pPr>
            <w:r>
              <w:rPr>
                <w:sz w:val="18"/>
              </w:rPr>
              <w:t>One-stringed plucked drone</w:t>
            </w:r>
          </w:p>
        </w:tc>
        <w:tc>
          <w:tcPr>
            <w:tcW w:type="dxa" w:w="3600"/>
            <w:shd w:fill="FFFFFF"/>
          </w:tcPr>
          <w:p>
            <w:pPr>
              <w:spacing w:after="40"/>
            </w:pPr>
            <w:r>
              <w:rPr>
                <w:sz w:val="18"/>
              </w:rPr>
              <w:t>Sufi and devotional folk tradition.</w:t>
            </w:r>
          </w:p>
        </w:tc>
        <w:tc>
          <w:tcPr>
            <w:tcW w:type="dxa" w:w="2880"/>
            <w:shd w:fill="FFFFFF"/>
          </w:tcPr>
          <w:p>
            <w:pPr>
              <w:spacing w:after="40"/>
            </w:pPr>
            <w:r>
              <w:rPr>
                <w:sz w:val="18"/>
              </w:rPr>
              <w:t>Sant/Sufi devotional song accompaniment.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