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37. Heritage Conservation &amp; Challenges</w:t>
      </w:r>
    </w:p>
    <w:p>
      <w:pPr>
        <w:spacing w:before="280" w:after="120"/>
      </w:pPr>
      <w:r>
        <w:rPr>
          <w:rFonts w:ascii="Arial" w:hAnsi="Arial"/>
          <w:b/>
          <w:color w:val="6D28D9"/>
          <w:sz w:val="30"/>
        </w:rPr>
        <w:t>1. Conservation Status Overview</w:t>
      </w:r>
    </w:p>
    <w:p>
      <w:pPr>
        <w:spacing w:after="120" w:line="276" w:lineRule="auto"/>
      </w:pPr>
      <w:r>
        <w:rPr>
          <w:i w:val="0"/>
        </w:rPr>
        <w:t>Chanderi's heritage monuments are protected under multiple frameworks. Many key monuments are protected under the Archaeological Survey of India (ASI) under the Ancient Monuments and Archaeological Sites and Remains Act (AMASR), 1958. State-level protection under the Madhya Pradesh Puratatva Adhiniyam provides additional coverage [Source: CHA-S001, CHA-S004, CHA-S010].</w:t>
      </w:r>
    </w:p>
    <w:p>
      <w:pPr>
        <w:spacing w:before="200" w:after="80"/>
      </w:pPr>
      <w:r>
        <w:rPr>
          <w:rFonts w:ascii="Arial" w:hAnsi="Arial"/>
          <w:b/>
          <w:color w:val="78350F"/>
          <w:sz w:val="26"/>
        </w:rPr>
        <w:t>2. Major Conservation Challenges</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6D28D9"/>
          </w:tcPr>
          <w:p>
            <w:pPr>
              <w:spacing w:after="40"/>
              <w:jc w:val="left"/>
            </w:pPr>
            <w:r>
              <w:rPr>
                <w:rFonts w:ascii="Arial" w:hAnsi="Arial"/>
                <w:b/>
                <w:color w:val="FFFFFF"/>
                <w:sz w:val="19"/>
              </w:rPr>
              <w:t>Challenge</w:t>
            </w:r>
          </w:p>
        </w:tc>
        <w:tc>
          <w:tcPr>
            <w:tcW w:type="dxa" w:w="2160"/>
            <w:shd w:fill="6D28D9"/>
          </w:tcPr>
          <w:p>
            <w:pPr>
              <w:spacing w:after="40"/>
              <w:jc w:val="left"/>
            </w:pPr>
            <w:r>
              <w:rPr>
                <w:rFonts w:ascii="Arial" w:hAnsi="Arial"/>
                <w:b/>
                <w:color w:val="FFFFFF"/>
                <w:sz w:val="19"/>
              </w:rPr>
              <w:t>Affected Heritage</w:t>
            </w:r>
          </w:p>
        </w:tc>
        <w:tc>
          <w:tcPr>
            <w:tcW w:type="dxa" w:w="2880"/>
            <w:shd w:fill="6D28D9"/>
          </w:tcPr>
          <w:p>
            <w:pPr>
              <w:spacing w:after="40"/>
              <w:jc w:val="left"/>
            </w:pPr>
            <w:r>
              <w:rPr>
                <w:rFonts w:ascii="Arial" w:hAnsi="Arial"/>
                <w:b/>
                <w:color w:val="FFFFFF"/>
                <w:sz w:val="19"/>
              </w:rPr>
              <w:t>Cause</w:t>
            </w:r>
          </w:p>
        </w:tc>
        <w:tc>
          <w:tcPr>
            <w:tcW w:type="dxa" w:w="2880"/>
            <w:shd w:fill="6D28D9"/>
          </w:tcPr>
          <w:p>
            <w:pPr>
              <w:spacing w:after="40"/>
              <w:jc w:val="left"/>
            </w:pPr>
            <w:r>
              <w:rPr>
                <w:rFonts w:ascii="Arial" w:hAnsi="Arial"/>
                <w:b/>
                <w:color w:val="FFFFFF"/>
                <w:sz w:val="19"/>
              </w:rPr>
              <w:t>Current Response</w:t>
            </w:r>
          </w:p>
        </w:tc>
        <w:tc>
          <w:tcPr>
            <w:tcW w:type="dxa" w:w="1152"/>
            <w:shd w:fill="6D28D9"/>
          </w:tcPr>
          <w:p>
            <w:pPr>
              <w:spacing w:after="40"/>
              <w:jc w:val="left"/>
            </w:pPr>
            <w:r>
              <w:rPr>
                <w:rFonts w:ascii="Arial" w:hAnsi="Arial"/>
                <w:b/>
                <w:color w:val="FFFFFF"/>
                <w:sz w:val="19"/>
              </w:rPr>
              <w:t>Priority</w:t>
            </w:r>
          </w:p>
        </w:tc>
      </w:tr>
      <w:tr>
        <w:tc>
          <w:tcPr>
            <w:tcW w:type="dxa" w:w="2592"/>
            <w:shd w:fill="FFFFFF"/>
          </w:tcPr>
          <w:p>
            <w:pPr>
              <w:spacing w:after="40"/>
            </w:pPr>
            <w:r>
              <w:rPr>
                <w:sz w:val="18"/>
              </w:rPr>
              <w:t>Structural deterioration</w:t>
            </w:r>
          </w:p>
        </w:tc>
        <w:tc>
          <w:tcPr>
            <w:tcW w:type="dxa" w:w="2160"/>
            <w:shd w:fill="FFFFFF"/>
          </w:tcPr>
          <w:p>
            <w:pPr>
              <w:spacing w:after="40"/>
            </w:pPr>
            <w:r>
              <w:rPr>
                <w:sz w:val="18"/>
              </w:rPr>
              <w:t>Fort walls; gates; stepwells.</w:t>
            </w:r>
          </w:p>
        </w:tc>
        <w:tc>
          <w:tcPr>
            <w:tcW w:type="dxa" w:w="2880"/>
            <w:shd w:fill="FFFFFF"/>
          </w:tcPr>
          <w:p>
            <w:pPr>
              <w:spacing w:after="40"/>
            </w:pPr>
            <w:r>
              <w:rPr>
                <w:sz w:val="18"/>
              </w:rPr>
              <w:t>Age; weathering; lack of maintenance; vegetation root action.</w:t>
            </w:r>
          </w:p>
        </w:tc>
        <w:tc>
          <w:tcPr>
            <w:tcW w:type="dxa" w:w="2880"/>
            <w:shd w:fill="FFFFFF"/>
          </w:tcPr>
          <w:p>
            <w:pPr>
              <w:spacing w:after="40"/>
            </w:pPr>
            <w:r>
              <w:rPr>
                <w:sz w:val="18"/>
              </w:rPr>
              <w:t>ASI conservation works on selected monuments.</w:t>
            </w:r>
          </w:p>
        </w:tc>
        <w:tc>
          <w:tcPr>
            <w:tcW w:type="dxa" w:w="1152"/>
            <w:shd w:fill="FFFFFF"/>
          </w:tcPr>
          <w:p>
            <w:pPr>
              <w:spacing w:after="40"/>
            </w:pPr>
            <w:r>
              <w:rPr>
                <w:sz w:val="18"/>
              </w:rPr>
              <w:t>HIGH</w:t>
            </w:r>
          </w:p>
        </w:tc>
      </w:tr>
      <w:tr>
        <w:tc>
          <w:tcPr>
            <w:tcW w:type="dxa" w:w="2592"/>
            <w:shd w:fill="F5F3FF"/>
          </w:tcPr>
          <w:p>
            <w:pPr>
              <w:spacing w:after="40"/>
            </w:pPr>
            <w:r>
              <w:rPr>
                <w:sz w:val="18"/>
              </w:rPr>
              <w:t>Water body silting</w:t>
            </w:r>
          </w:p>
        </w:tc>
        <w:tc>
          <w:tcPr>
            <w:tcW w:type="dxa" w:w="2160"/>
            <w:shd w:fill="F5F3FF"/>
          </w:tcPr>
          <w:p>
            <w:pPr>
              <w:spacing w:after="40"/>
            </w:pPr>
            <w:r>
              <w:rPr>
                <w:sz w:val="18"/>
              </w:rPr>
              <w:t>Kanchan Sagar; stepwells; historic tanks.</w:t>
            </w:r>
          </w:p>
        </w:tc>
        <w:tc>
          <w:tcPr>
            <w:tcW w:type="dxa" w:w="2880"/>
            <w:shd w:fill="F5F3FF"/>
          </w:tcPr>
          <w:p>
            <w:pPr>
              <w:spacing w:after="40"/>
            </w:pPr>
            <w:r>
              <w:rPr>
                <w:sz w:val="18"/>
              </w:rPr>
              <w:t>Catchment erosion; reduced maintenance of embankments.</w:t>
            </w:r>
          </w:p>
        </w:tc>
        <w:tc>
          <w:tcPr>
            <w:tcW w:type="dxa" w:w="2880"/>
            <w:shd w:fill="F5F3FF"/>
          </w:tcPr>
          <w:p>
            <w:pPr>
              <w:spacing w:after="40"/>
            </w:pPr>
            <w:r>
              <w:rPr>
                <w:sz w:val="18"/>
              </w:rPr>
              <w:t>Partial desilting projects; requires comprehensive watershed management.</w:t>
            </w:r>
          </w:p>
        </w:tc>
        <w:tc>
          <w:tcPr>
            <w:tcW w:type="dxa" w:w="1152"/>
            <w:shd w:fill="F5F3FF"/>
          </w:tcPr>
          <w:p>
            <w:pPr>
              <w:spacing w:after="40"/>
            </w:pPr>
            <w:r>
              <w:rPr>
                <w:sz w:val="18"/>
              </w:rPr>
              <w:t>HIGH</w:t>
            </w:r>
          </w:p>
        </w:tc>
      </w:tr>
      <w:tr>
        <w:tc>
          <w:tcPr>
            <w:tcW w:type="dxa" w:w="2592"/>
            <w:shd w:fill="FFFFFF"/>
          </w:tcPr>
          <w:p>
            <w:pPr>
              <w:spacing w:after="40"/>
            </w:pPr>
            <w:r>
              <w:rPr>
                <w:sz w:val="18"/>
              </w:rPr>
              <w:t>Vegetation overgrowth</w:t>
            </w:r>
          </w:p>
        </w:tc>
        <w:tc>
          <w:tcPr>
            <w:tcW w:type="dxa" w:w="2160"/>
            <w:shd w:fill="FFFFFF"/>
          </w:tcPr>
          <w:p>
            <w:pPr>
              <w:spacing w:after="40"/>
            </w:pPr>
            <w:r>
              <w:rPr>
                <w:sz w:val="18"/>
              </w:rPr>
              <w:t>Fort walls; historic gateways; stepwells.</w:t>
            </w:r>
          </w:p>
        </w:tc>
        <w:tc>
          <w:tcPr>
            <w:tcW w:type="dxa" w:w="2880"/>
            <w:shd w:fill="FFFFFF"/>
          </w:tcPr>
          <w:p>
            <w:pPr>
              <w:spacing w:after="40"/>
            </w:pPr>
            <w:r>
              <w:rPr>
                <w:sz w:val="18"/>
              </w:rPr>
              <w:t>Roots of ficus, pipal trees penetrate masonry joints.</w:t>
            </w:r>
          </w:p>
        </w:tc>
        <w:tc>
          <w:tcPr>
            <w:tcW w:type="dxa" w:w="2880"/>
            <w:shd w:fill="FFFFFF"/>
          </w:tcPr>
          <w:p>
            <w:pPr>
              <w:spacing w:after="40"/>
            </w:pPr>
            <w:r>
              <w:rPr>
                <w:sz w:val="18"/>
              </w:rPr>
              <w:t>Periodic clearance; needs systematic program.</w:t>
            </w:r>
          </w:p>
        </w:tc>
        <w:tc>
          <w:tcPr>
            <w:tcW w:type="dxa" w:w="1152"/>
            <w:shd w:fill="FFFFFF"/>
          </w:tcPr>
          <w:p>
            <w:pPr>
              <w:spacing w:after="40"/>
            </w:pPr>
            <w:r>
              <w:rPr>
                <w:sz w:val="18"/>
              </w:rPr>
              <w:t>HIGH</w:t>
            </w:r>
          </w:p>
        </w:tc>
      </w:tr>
      <w:tr>
        <w:tc>
          <w:tcPr>
            <w:tcW w:type="dxa" w:w="2592"/>
            <w:shd w:fill="F5F3FF"/>
          </w:tcPr>
          <w:p>
            <w:pPr>
              <w:spacing w:after="40"/>
            </w:pPr>
            <w:r>
              <w:rPr>
                <w:sz w:val="18"/>
              </w:rPr>
              <w:t>Tourism impact</w:t>
            </w:r>
          </w:p>
        </w:tc>
        <w:tc>
          <w:tcPr>
            <w:tcW w:type="dxa" w:w="2160"/>
            <w:shd w:fill="F5F3FF"/>
          </w:tcPr>
          <w:p>
            <w:pPr>
              <w:spacing w:after="40"/>
            </w:pPr>
            <w:r>
              <w:rPr>
                <w:sz w:val="18"/>
              </w:rPr>
              <w:t>Monument surfaces; archaeological zones.</w:t>
            </w:r>
          </w:p>
        </w:tc>
        <w:tc>
          <w:tcPr>
            <w:tcW w:type="dxa" w:w="2880"/>
            <w:shd w:fill="F5F3FF"/>
          </w:tcPr>
          <w:p>
            <w:pPr>
              <w:spacing w:after="40"/>
            </w:pPr>
            <w:r>
              <w:rPr>
                <w:sz w:val="18"/>
              </w:rPr>
              <w:t>Uncontrolled visitor access; littering; surface graffiti.</w:t>
            </w:r>
          </w:p>
        </w:tc>
        <w:tc>
          <w:tcPr>
            <w:tcW w:type="dxa" w:w="2880"/>
            <w:shd w:fill="F5F3FF"/>
          </w:tcPr>
          <w:p>
            <w:pPr>
              <w:spacing w:after="40"/>
            </w:pPr>
            <w:r>
              <w:rPr>
                <w:sz w:val="18"/>
              </w:rPr>
              <w:t>Basic signage; needs visitor management plan.</w:t>
            </w:r>
          </w:p>
        </w:tc>
        <w:tc>
          <w:tcPr>
            <w:tcW w:type="dxa" w:w="1152"/>
            <w:shd w:fill="F5F3FF"/>
          </w:tcPr>
          <w:p>
            <w:pPr>
              <w:spacing w:after="40"/>
            </w:pPr>
            <w:r>
              <w:rPr>
                <w:sz w:val="18"/>
              </w:rPr>
              <w:t>MEDIUM</w:t>
            </w:r>
          </w:p>
        </w:tc>
      </w:tr>
      <w:tr>
        <w:tc>
          <w:tcPr>
            <w:tcW w:type="dxa" w:w="2592"/>
            <w:shd w:fill="FFFFFF"/>
          </w:tcPr>
          <w:p>
            <w:pPr>
              <w:spacing w:after="40"/>
            </w:pPr>
            <w:r>
              <w:rPr>
                <w:sz w:val="18"/>
              </w:rPr>
              <w:t>Encroachment</w:t>
            </w:r>
          </w:p>
        </w:tc>
        <w:tc>
          <w:tcPr>
            <w:tcW w:type="dxa" w:w="2160"/>
            <w:shd w:fill="FFFFFF"/>
          </w:tcPr>
          <w:p>
            <w:pPr>
              <w:spacing w:after="40"/>
            </w:pPr>
            <w:r>
              <w:rPr>
                <w:sz w:val="18"/>
              </w:rPr>
              <w:t>Historic town fabric; monument zones.</w:t>
            </w:r>
          </w:p>
        </w:tc>
        <w:tc>
          <w:tcPr>
            <w:tcW w:type="dxa" w:w="2880"/>
            <w:shd w:fill="FFFFFF"/>
          </w:tcPr>
          <w:p>
            <w:pPr>
              <w:spacing w:after="40"/>
            </w:pPr>
            <w:r>
              <w:rPr>
                <w:sz w:val="18"/>
              </w:rPr>
              <w:t>Urban growth; new construction near protected monuments.</w:t>
            </w:r>
          </w:p>
        </w:tc>
        <w:tc>
          <w:tcPr>
            <w:tcW w:type="dxa" w:w="2880"/>
            <w:shd w:fill="FFFFFF"/>
          </w:tcPr>
          <w:p>
            <w:pPr>
              <w:spacing w:after="40"/>
            </w:pPr>
            <w:r>
              <w:rPr>
                <w:sz w:val="18"/>
              </w:rPr>
              <w:t>ASI regulated zone enforcement; needs stronger implementation.</w:t>
            </w:r>
          </w:p>
        </w:tc>
        <w:tc>
          <w:tcPr>
            <w:tcW w:type="dxa" w:w="1152"/>
            <w:shd w:fill="FFFFFF"/>
          </w:tcPr>
          <w:p>
            <w:pPr>
              <w:spacing w:after="40"/>
            </w:pPr>
            <w:r>
              <w:rPr>
                <w:sz w:val="18"/>
              </w:rPr>
              <w:t>HIGH</w:t>
            </w:r>
          </w:p>
        </w:tc>
      </w:tr>
      <w:tr>
        <w:tc>
          <w:tcPr>
            <w:tcW w:type="dxa" w:w="2592"/>
            <w:shd w:fill="F5F3FF"/>
          </w:tcPr>
          <w:p>
            <w:pPr>
              <w:spacing w:after="40"/>
            </w:pPr>
            <w:r>
              <w:rPr>
                <w:sz w:val="18"/>
              </w:rPr>
              <w:t>Textile skill loss</w:t>
            </w:r>
          </w:p>
        </w:tc>
        <w:tc>
          <w:tcPr>
            <w:tcW w:type="dxa" w:w="2160"/>
            <w:shd w:fill="F5F3FF"/>
          </w:tcPr>
          <w:p>
            <w:pPr>
              <w:spacing w:after="40"/>
            </w:pPr>
            <w:r>
              <w:rPr>
                <w:sz w:val="18"/>
              </w:rPr>
              <w:t>Living textile heritage.</w:t>
            </w:r>
          </w:p>
        </w:tc>
        <w:tc>
          <w:tcPr>
            <w:tcW w:type="dxa" w:w="2880"/>
            <w:shd w:fill="F5F3FF"/>
          </w:tcPr>
          <w:p>
            <w:pPr>
              <w:spacing w:after="40"/>
            </w:pPr>
            <w:r>
              <w:rPr>
                <w:sz w:val="18"/>
              </w:rPr>
              <w:t>Economic migration; power-loom competition; aging craftsmen.</w:t>
            </w:r>
          </w:p>
        </w:tc>
        <w:tc>
          <w:tcPr>
            <w:tcW w:type="dxa" w:w="2880"/>
            <w:shd w:fill="F5F3FF"/>
          </w:tcPr>
          <w:p>
            <w:pPr>
              <w:spacing w:after="40"/>
            </w:pPr>
            <w:r>
              <w:rPr>
                <w:sz w:val="18"/>
              </w:rPr>
              <w:t>Government schemes; GI tag; cooperative support.</w:t>
            </w:r>
          </w:p>
        </w:tc>
        <w:tc>
          <w:tcPr>
            <w:tcW w:type="dxa" w:w="1152"/>
            <w:shd w:fill="F5F3FF"/>
          </w:tcPr>
          <w:p>
            <w:pPr>
              <w:spacing w:after="40"/>
            </w:pPr>
            <w:r>
              <w:rPr>
                <w:sz w:val="18"/>
              </w:rPr>
              <w:t>HIGH</w:t>
            </w:r>
          </w:p>
        </w:tc>
      </w:tr>
      <w:tr>
        <w:tc>
          <w:tcPr>
            <w:tcW w:type="dxa" w:w="2592"/>
            <w:shd w:fill="FFFFFF"/>
          </w:tcPr>
          <w:p>
            <w:pPr>
              <w:spacing w:after="40"/>
            </w:pPr>
            <w:r>
              <w:rPr>
                <w:sz w:val="18"/>
              </w:rPr>
              <w:t>Documentation gaps</w:t>
            </w:r>
          </w:p>
        </w:tc>
        <w:tc>
          <w:tcPr>
            <w:tcW w:type="dxa" w:w="2160"/>
            <w:shd w:fill="FFFFFF"/>
          </w:tcPr>
          <w:p>
            <w:pPr>
              <w:spacing w:after="40"/>
            </w:pPr>
            <w:r>
              <w:rPr>
                <w:sz w:val="18"/>
              </w:rPr>
              <w:t>Many secondary monuments poorly documented.</w:t>
            </w:r>
          </w:p>
        </w:tc>
        <w:tc>
          <w:tcPr>
            <w:tcW w:type="dxa" w:w="2880"/>
            <w:shd w:fill="FFFFFF"/>
          </w:tcPr>
          <w:p>
            <w:pPr>
              <w:spacing w:after="40"/>
            </w:pPr>
            <w:r>
              <w:rPr>
                <w:sz w:val="18"/>
              </w:rPr>
              <w:t>Limited survey resources; access difficulties.</w:t>
            </w:r>
          </w:p>
        </w:tc>
        <w:tc>
          <w:tcPr>
            <w:tcW w:type="dxa" w:w="2880"/>
            <w:shd w:fill="FFFFFF"/>
          </w:tcPr>
          <w:p>
            <w:pPr>
              <w:spacing w:after="40"/>
            </w:pPr>
            <w:r>
              <w:rPr>
                <w:sz w:val="18"/>
              </w:rPr>
              <w:t>INTACH surveys; needs comprehensive digital documentation.</w:t>
            </w:r>
          </w:p>
        </w:tc>
        <w:tc>
          <w:tcPr>
            <w:tcW w:type="dxa" w:w="1152"/>
            <w:shd w:fill="FFFFFF"/>
          </w:tcPr>
          <w:p>
            <w:pPr>
              <w:spacing w:after="40"/>
            </w:pPr>
            <w:r>
              <w:rPr>
                <w:sz w:val="18"/>
              </w:rPr>
              <w:t>MEDIUM</w:t>
            </w:r>
          </w:p>
        </w:tc>
      </w:tr>
    </w:tbl>
    <w:p>
      <w:pPr>
        <w:spacing w:after="120"/>
      </w:pPr>
    </w:p>
    <w:p>
      <w:pPr>
        <w:spacing w:before="200" w:after="80"/>
      </w:pPr>
      <w:r>
        <w:rPr>
          <w:rFonts w:ascii="Arial" w:hAnsi="Arial"/>
          <w:b/>
          <w:color w:val="78350F"/>
          <w:sz w:val="26"/>
        </w:rPr>
        <w:t>3. Institutions Responsible for Conservation</w:t>
      </w:r>
    </w:p>
    <w:p>
      <w:pPr>
        <w:pStyle w:val="ListBullet"/>
        <w:spacing w:after="80" w:line="276" w:lineRule="auto"/>
      </w:pPr>
      <w:r>
        <w:rPr>
          <w:b/>
          <w:color w:val="78350F"/>
        </w:rPr>
        <w:t xml:space="preserve">ASI: </w:t>
      </w:r>
      <w:r>
        <w:t>Archaeological Survey of India (ASI) — Bhopal Circle: Primary authority for centrally protected monuments at Chanderi. [Source: CHA-S001]</w:t>
      </w:r>
    </w:p>
    <w:p>
      <w:pPr>
        <w:pStyle w:val="ListBullet"/>
        <w:spacing w:after="80" w:line="276" w:lineRule="auto"/>
      </w:pPr>
      <w:r>
        <w:rPr>
          <w:b/>
          <w:color w:val="78350F"/>
        </w:rPr>
        <w:t xml:space="preserve">MP State Archaeology: </w:t>
      </w:r>
      <w:r>
        <w:t>Madhya Pradesh State Archaeology Department: Responsible for state-protected monuments. [Source: CHA-S004]</w:t>
      </w:r>
    </w:p>
    <w:p>
      <w:pPr>
        <w:pStyle w:val="ListBullet"/>
        <w:spacing w:after="80" w:line="276" w:lineRule="auto"/>
      </w:pPr>
      <w:r>
        <w:rPr>
          <w:b/>
          <w:color w:val="78350F"/>
        </w:rPr>
        <w:t xml:space="preserve">INTACH: </w:t>
      </w:r>
      <w:r>
        <w:t>INTACH (Indian National Trust for Art and Cultural Heritage): Has conducted heritage documentation surveys at Chanderi. [Source: CHA-S010]</w:t>
      </w:r>
    </w:p>
    <w:p>
      <w:pPr>
        <w:pStyle w:val="ListBullet"/>
        <w:spacing w:after="80" w:line="276" w:lineRule="auto"/>
      </w:pPr>
      <w:r>
        <w:rPr>
          <w:b/>
          <w:color w:val="78350F"/>
        </w:rPr>
        <w:t xml:space="preserve">Handloom Authorities: </w:t>
      </w:r>
      <w:r>
        <w:t>Handloom Development Corporation, MP / DC Handlooms (Ministry of Textiles): Responsible for textile heritage preservation and weaver welfare. [Source: CHA-S005]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