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78350F"/>
          <w:sz w:val="18"/>
        </w:rPr>
        <w:t>CHANDERI MADHYA PRADESH — CULTURAL HERITAGE &amp; KNOWLEDGE BASE</w:t>
      </w:r>
    </w:p>
    <w:p>
      <w:pPr>
        <w:spacing w:after="280"/>
      </w:pPr>
      <w:r>
        <w:rPr>
          <w:rFonts w:ascii="Arial" w:hAnsi="Arial"/>
          <w:b/>
          <w:color w:val="6D28D9"/>
          <w:sz w:val="42"/>
        </w:rPr>
        <w:t>50. Museums &amp; Cultural Institutions</w:t>
      </w:r>
    </w:p>
    <w:p>
      <w:pPr>
        <w:spacing w:before="280" w:after="120"/>
      </w:pPr>
      <w:r>
        <w:rPr>
          <w:rFonts w:ascii="Arial" w:hAnsi="Arial"/>
          <w:b/>
          <w:color w:val="6D28D9"/>
          <w:sz w:val="30"/>
        </w:rPr>
        <w:t>1. Heritage Institutions at Chanderi</w:t>
      </w:r>
    </w:p>
    <w:p>
      <w:pPr>
        <w:spacing w:after="120" w:line="276" w:lineRule="auto"/>
      </w:pPr>
      <w:r>
        <w:rPr>
          <w:i w:val="0"/>
        </w:rPr>
        <w:t>Chanderi's institutional heritage infrastructure includes ASI site offices, handloom cooperatives with exhibition facilities, and limited museum provision. The following inventory reflects available published information. Visitors should verify current opening hours and collections directly [Source: CHA-S001, CHA-S004, CHA-S005].</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2880"/>
            <w:shd w:fill="6D28D9"/>
          </w:tcPr>
          <w:p>
            <w:pPr>
              <w:spacing w:after="40"/>
              <w:jc w:val="left"/>
            </w:pPr>
            <w:r>
              <w:rPr>
                <w:rFonts w:ascii="Arial" w:hAnsi="Arial"/>
                <w:b/>
                <w:color w:val="FFFFFF"/>
                <w:sz w:val="19"/>
              </w:rPr>
              <w:t>Institution</w:t>
            </w:r>
          </w:p>
        </w:tc>
        <w:tc>
          <w:tcPr>
            <w:tcW w:type="dxa" w:w="2160"/>
            <w:shd w:fill="6D28D9"/>
          </w:tcPr>
          <w:p>
            <w:pPr>
              <w:spacing w:after="40"/>
              <w:jc w:val="left"/>
            </w:pPr>
            <w:r>
              <w:rPr>
                <w:rFonts w:ascii="Arial" w:hAnsi="Arial"/>
                <w:b/>
                <w:color w:val="FFFFFF"/>
                <w:sz w:val="19"/>
              </w:rPr>
              <w:t>Type</w:t>
            </w:r>
          </w:p>
        </w:tc>
        <w:tc>
          <w:tcPr>
            <w:tcW w:type="dxa" w:w="2160"/>
            <w:shd w:fill="6D28D9"/>
          </w:tcPr>
          <w:p>
            <w:pPr>
              <w:spacing w:after="40"/>
              <w:jc w:val="left"/>
            </w:pPr>
            <w:r>
              <w:rPr>
                <w:rFonts w:ascii="Arial" w:hAnsi="Arial"/>
                <w:b/>
                <w:color w:val="FFFFFF"/>
                <w:sz w:val="19"/>
              </w:rPr>
              <w:t>Location</w:t>
            </w:r>
          </w:p>
        </w:tc>
        <w:tc>
          <w:tcPr>
            <w:tcW w:type="dxa" w:w="2880"/>
            <w:shd w:fill="6D28D9"/>
          </w:tcPr>
          <w:p>
            <w:pPr>
              <w:spacing w:after="40"/>
              <w:jc w:val="left"/>
            </w:pPr>
            <w:r>
              <w:rPr>
                <w:rFonts w:ascii="Arial" w:hAnsi="Arial"/>
                <w:b/>
                <w:color w:val="FFFFFF"/>
                <w:sz w:val="19"/>
              </w:rPr>
              <w:t>Collections / Focus</w:t>
            </w:r>
          </w:p>
        </w:tc>
        <w:tc>
          <w:tcPr>
            <w:tcW w:type="dxa" w:w="2592"/>
            <w:shd w:fill="6D28D9"/>
          </w:tcPr>
          <w:p>
            <w:pPr>
              <w:spacing w:after="40"/>
              <w:jc w:val="left"/>
            </w:pPr>
            <w:r>
              <w:rPr>
                <w:rFonts w:ascii="Arial" w:hAnsi="Arial"/>
                <w:b/>
                <w:color w:val="FFFFFF"/>
                <w:sz w:val="19"/>
              </w:rPr>
              <w:t>Relevant for Heritage Platform</w:t>
            </w:r>
          </w:p>
        </w:tc>
        <w:tc>
          <w:tcPr>
            <w:tcW w:type="dxa" w:w="2160"/>
            <w:shd w:fill="6D28D9"/>
          </w:tcPr>
          <w:p>
            <w:pPr>
              <w:spacing w:after="40"/>
              <w:jc w:val="left"/>
            </w:pPr>
            <w:r>
              <w:rPr>
                <w:rFonts w:ascii="Arial" w:hAnsi="Arial"/>
                <w:b/>
                <w:color w:val="FFFFFF"/>
                <w:sz w:val="19"/>
              </w:rPr>
              <w:t>Verification Status</w:t>
            </w:r>
          </w:p>
        </w:tc>
      </w:tr>
      <w:tr>
        <w:tc>
          <w:tcPr>
            <w:tcW w:type="dxa" w:w="2880"/>
            <w:shd w:fill="FFFFFF"/>
          </w:tcPr>
          <w:p>
            <w:pPr>
              <w:spacing w:after="40"/>
            </w:pPr>
            <w:r>
              <w:rPr>
                <w:sz w:val="18"/>
              </w:rPr>
              <w:t>ASI Chanderi Site Office</w:t>
            </w:r>
          </w:p>
        </w:tc>
        <w:tc>
          <w:tcPr>
            <w:tcW w:type="dxa" w:w="2160"/>
            <w:shd w:fill="FFFFFF"/>
          </w:tcPr>
          <w:p>
            <w:pPr>
              <w:spacing w:after="40"/>
            </w:pPr>
            <w:r>
              <w:rPr>
                <w:sz w:val="18"/>
              </w:rPr>
              <w:t>Archaeological authority / site management</w:t>
            </w:r>
          </w:p>
        </w:tc>
        <w:tc>
          <w:tcPr>
            <w:tcW w:type="dxa" w:w="2160"/>
            <w:shd w:fill="FFFFFF"/>
          </w:tcPr>
          <w:p>
            <w:pPr>
              <w:spacing w:after="40"/>
            </w:pPr>
            <w:r>
              <w:rPr>
                <w:sz w:val="18"/>
              </w:rPr>
              <w:t>Chanderi (within monument zone)</w:t>
            </w:r>
          </w:p>
        </w:tc>
        <w:tc>
          <w:tcPr>
            <w:tcW w:type="dxa" w:w="2880"/>
            <w:shd w:fill="FFFFFF"/>
          </w:tcPr>
          <w:p>
            <w:pPr>
              <w:spacing w:after="40"/>
            </w:pPr>
            <w:r>
              <w:rPr>
                <w:sz w:val="18"/>
              </w:rPr>
              <w:t>Monument management; limited public interpretation facility.</w:t>
            </w:r>
          </w:p>
        </w:tc>
        <w:tc>
          <w:tcPr>
            <w:tcW w:type="dxa" w:w="2592"/>
            <w:shd w:fill="FFFFFF"/>
          </w:tcPr>
          <w:p>
            <w:pPr>
              <w:spacing w:after="40"/>
            </w:pPr>
            <w:r>
              <w:rPr>
                <w:sz w:val="18"/>
              </w:rPr>
              <w:t>HIGH — primary authority for monument information.</w:t>
            </w:r>
          </w:p>
        </w:tc>
        <w:tc>
          <w:tcPr>
            <w:tcW w:type="dxa" w:w="2160"/>
            <w:shd w:fill="FFFFFF"/>
          </w:tcPr>
          <w:p>
            <w:pPr>
              <w:spacing w:after="40"/>
            </w:pPr>
            <w:r>
              <w:rPr>
                <w:sz w:val="18"/>
              </w:rPr>
              <w:t>Verify current public access.</w:t>
            </w:r>
          </w:p>
        </w:tc>
      </w:tr>
      <w:tr>
        <w:tc>
          <w:tcPr>
            <w:tcW w:type="dxa" w:w="2880"/>
            <w:shd w:fill="F5F3FF"/>
          </w:tcPr>
          <w:p>
            <w:pPr>
              <w:spacing w:after="40"/>
            </w:pPr>
            <w:r>
              <w:rPr>
                <w:sz w:val="18"/>
              </w:rPr>
              <w:t>Handloom Cooperative Society, Chanderi</w:t>
            </w:r>
          </w:p>
        </w:tc>
        <w:tc>
          <w:tcPr>
            <w:tcW w:type="dxa" w:w="2160"/>
            <w:shd w:fill="F5F3FF"/>
          </w:tcPr>
          <w:p>
            <w:pPr>
              <w:spacing w:after="40"/>
            </w:pPr>
            <w:r>
              <w:rPr>
                <w:sz w:val="18"/>
              </w:rPr>
              <w:t>Craft institution / cooperative</w:t>
            </w:r>
          </w:p>
        </w:tc>
        <w:tc>
          <w:tcPr>
            <w:tcW w:type="dxa" w:w="2160"/>
            <w:shd w:fill="F5F3FF"/>
          </w:tcPr>
          <w:p>
            <w:pPr>
              <w:spacing w:after="40"/>
            </w:pPr>
            <w:r>
              <w:rPr>
                <w:sz w:val="18"/>
              </w:rPr>
              <w:t>Weaver neighbourhood, Chanderi town</w:t>
            </w:r>
          </w:p>
        </w:tc>
        <w:tc>
          <w:tcPr>
            <w:tcW w:type="dxa" w:w="2880"/>
            <w:shd w:fill="F5F3FF"/>
          </w:tcPr>
          <w:p>
            <w:pPr>
              <w:spacing w:after="40"/>
            </w:pPr>
            <w:r>
              <w:rPr>
                <w:sz w:val="18"/>
              </w:rPr>
              <w:t>Live weaving demonstration; fabric showroom; cooperative sales.</w:t>
            </w:r>
          </w:p>
        </w:tc>
        <w:tc>
          <w:tcPr>
            <w:tcW w:type="dxa" w:w="2592"/>
            <w:shd w:fill="F5F3FF"/>
          </w:tcPr>
          <w:p>
            <w:pPr>
              <w:spacing w:after="40"/>
            </w:pPr>
            <w:r>
              <w:rPr>
                <w:sz w:val="18"/>
              </w:rPr>
              <w:t>HIGH — living textile heritage demonstration; authentic purchase point.</w:t>
            </w:r>
          </w:p>
        </w:tc>
        <w:tc>
          <w:tcPr>
            <w:tcW w:type="dxa" w:w="2160"/>
            <w:shd w:fill="F5F3FF"/>
          </w:tcPr>
          <w:p>
            <w:pPr>
              <w:spacing w:after="40"/>
            </w:pPr>
            <w:r>
              <w:rPr>
                <w:sz w:val="18"/>
              </w:rPr>
              <w:t>Active; verify current hours.</w:t>
            </w:r>
          </w:p>
        </w:tc>
      </w:tr>
      <w:tr>
        <w:tc>
          <w:tcPr>
            <w:tcW w:type="dxa" w:w="2880"/>
            <w:shd w:fill="FFFFFF"/>
          </w:tcPr>
          <w:p>
            <w:pPr>
              <w:spacing w:after="40"/>
            </w:pPr>
            <w:r>
              <w:rPr>
                <w:sz w:val="18"/>
              </w:rPr>
              <w:t>MP State Handloom Emporium (Mrignayani)</w:t>
            </w:r>
          </w:p>
        </w:tc>
        <w:tc>
          <w:tcPr>
            <w:tcW w:type="dxa" w:w="2160"/>
            <w:shd w:fill="FFFFFF"/>
          </w:tcPr>
          <w:p>
            <w:pPr>
              <w:spacing w:after="40"/>
            </w:pPr>
            <w:r>
              <w:rPr>
                <w:sz w:val="18"/>
              </w:rPr>
              <w:t>Government retail / exhibition</w:t>
            </w:r>
          </w:p>
        </w:tc>
        <w:tc>
          <w:tcPr>
            <w:tcW w:type="dxa" w:w="2160"/>
            <w:shd w:fill="FFFFFF"/>
          </w:tcPr>
          <w:p>
            <w:pPr>
              <w:spacing w:after="40"/>
            </w:pPr>
            <w:r>
              <w:rPr>
                <w:sz w:val="18"/>
              </w:rPr>
              <w:t>Regional centres (not always in Chanderi itself)</w:t>
            </w:r>
          </w:p>
        </w:tc>
        <w:tc>
          <w:tcPr>
            <w:tcW w:type="dxa" w:w="2880"/>
            <w:shd w:fill="FFFFFF"/>
          </w:tcPr>
          <w:p>
            <w:pPr>
              <w:spacing w:after="40"/>
            </w:pPr>
            <w:r>
              <w:rPr>
                <w:sz w:val="18"/>
              </w:rPr>
              <w:t>Chanderi fabric; other MP handloom products.</w:t>
            </w:r>
          </w:p>
        </w:tc>
        <w:tc>
          <w:tcPr>
            <w:tcW w:type="dxa" w:w="2592"/>
            <w:shd w:fill="FFFFFF"/>
          </w:tcPr>
          <w:p>
            <w:pPr>
              <w:spacing w:after="40"/>
            </w:pPr>
            <w:r>
              <w:rPr>
                <w:sz w:val="18"/>
              </w:rPr>
              <w:t>MEDIUM — good for fabric purchase; not heritage interpretation.</w:t>
            </w:r>
          </w:p>
        </w:tc>
        <w:tc>
          <w:tcPr>
            <w:tcW w:type="dxa" w:w="2160"/>
            <w:shd w:fill="FFFFFF"/>
          </w:tcPr>
          <w:p>
            <w:pPr>
              <w:spacing w:after="40"/>
            </w:pPr>
            <w:r>
              <w:rPr>
                <w:sz w:val="18"/>
              </w:rPr>
              <w:t>Verify presence in Chanderi vs. nearby towns.</w:t>
            </w:r>
          </w:p>
        </w:tc>
      </w:tr>
      <w:tr>
        <w:tc>
          <w:tcPr>
            <w:tcW w:type="dxa" w:w="2880"/>
            <w:shd w:fill="F5F3FF"/>
          </w:tcPr>
          <w:p>
            <w:pPr>
              <w:spacing w:after="40"/>
            </w:pPr>
            <w:r>
              <w:rPr>
                <w:sz w:val="18"/>
              </w:rPr>
              <w:t>Chanderi Handloom Museum (if established)</w:t>
            </w:r>
          </w:p>
        </w:tc>
        <w:tc>
          <w:tcPr>
            <w:tcW w:type="dxa" w:w="2160"/>
            <w:shd w:fill="F5F3FF"/>
          </w:tcPr>
          <w:p>
            <w:pPr>
              <w:spacing w:after="40"/>
            </w:pPr>
            <w:r>
              <w:rPr>
                <w:sz w:val="18"/>
              </w:rPr>
              <w:t>Museum / interpretation centre</w:t>
            </w:r>
          </w:p>
        </w:tc>
        <w:tc>
          <w:tcPr>
            <w:tcW w:type="dxa" w:w="2160"/>
            <w:shd w:fill="F5F3FF"/>
          </w:tcPr>
          <w:p>
            <w:pPr>
              <w:spacing w:after="40"/>
            </w:pPr>
            <w:r>
              <w:rPr>
                <w:sz w:val="18"/>
              </w:rPr>
              <w:t>Chanderi town</w:t>
            </w:r>
          </w:p>
        </w:tc>
        <w:tc>
          <w:tcPr>
            <w:tcW w:type="dxa" w:w="2880"/>
            <w:shd w:fill="F5F3FF"/>
          </w:tcPr>
          <w:p>
            <w:pPr>
              <w:spacing w:after="40"/>
            </w:pPr>
            <w:r>
              <w:rPr>
                <w:sz w:val="18"/>
              </w:rPr>
              <w:t>Loom technology; motif documentation; textile history.</w:t>
            </w:r>
          </w:p>
        </w:tc>
        <w:tc>
          <w:tcPr>
            <w:tcW w:type="dxa" w:w="2592"/>
            <w:shd w:fill="F5F3FF"/>
          </w:tcPr>
          <w:p>
            <w:pPr>
              <w:spacing w:after="40"/>
            </w:pPr>
            <w:r>
              <w:rPr>
                <w:sz w:val="18"/>
              </w:rPr>
              <w:t>HIGH — if operational; verify current status.</w:t>
            </w:r>
          </w:p>
        </w:tc>
        <w:tc>
          <w:tcPr>
            <w:tcW w:type="dxa" w:w="2160"/>
            <w:shd w:fill="F5F3FF"/>
          </w:tcPr>
          <w:p>
            <w:pPr>
              <w:spacing w:after="40"/>
            </w:pPr>
            <w:r>
              <w:rPr>
                <w:sz w:val="18"/>
              </w:rPr>
              <w:t>STATUS UNCERTAIN — verify before platform inclusion.</w:t>
            </w:r>
          </w:p>
        </w:tc>
      </w:tr>
      <w:tr>
        <w:tc>
          <w:tcPr>
            <w:tcW w:type="dxa" w:w="2880"/>
            <w:shd w:fill="FFFFFF"/>
          </w:tcPr>
          <w:p>
            <w:pPr>
              <w:spacing w:after="40"/>
            </w:pPr>
            <w:r>
              <w:rPr>
                <w:sz w:val="18"/>
              </w:rPr>
              <w:t>INTACH Chanderi documentation</w:t>
            </w:r>
          </w:p>
        </w:tc>
        <w:tc>
          <w:tcPr>
            <w:tcW w:type="dxa" w:w="2160"/>
            <w:shd w:fill="FFFFFF"/>
          </w:tcPr>
          <w:p>
            <w:pPr>
              <w:spacing w:after="40"/>
            </w:pPr>
            <w:r>
              <w:rPr>
                <w:sz w:val="18"/>
              </w:rPr>
              <w:t>Heritage documentation organization</w:t>
            </w:r>
          </w:p>
        </w:tc>
        <w:tc>
          <w:tcPr>
            <w:tcW w:type="dxa" w:w="2160"/>
            <w:shd w:fill="FFFFFF"/>
          </w:tcPr>
          <w:p>
            <w:pPr>
              <w:spacing w:after="40"/>
            </w:pPr>
            <w:r>
              <w:rPr>
                <w:sz w:val="18"/>
              </w:rPr>
              <w:t>New Delhi HQ; field documentation at Chanderi</w:t>
            </w:r>
          </w:p>
        </w:tc>
        <w:tc>
          <w:tcPr>
            <w:tcW w:type="dxa" w:w="2880"/>
            <w:shd w:fill="FFFFFF"/>
          </w:tcPr>
          <w:p>
            <w:pPr>
              <w:spacing w:after="40"/>
            </w:pPr>
            <w:r>
              <w:rPr>
                <w:sz w:val="18"/>
              </w:rPr>
              <w:t>Published heritage surveys of Chanderi monuments.</w:t>
            </w:r>
          </w:p>
        </w:tc>
        <w:tc>
          <w:tcPr>
            <w:tcW w:type="dxa" w:w="2592"/>
            <w:shd w:fill="FFFFFF"/>
          </w:tcPr>
          <w:p>
            <w:pPr>
              <w:spacing w:after="40"/>
            </w:pPr>
            <w:r>
              <w:rPr>
                <w:sz w:val="18"/>
              </w:rPr>
              <w:t>HIGH — documentary source for monument data.</w:t>
            </w:r>
          </w:p>
        </w:tc>
        <w:tc>
          <w:tcPr>
            <w:tcW w:type="dxa" w:w="2160"/>
            <w:shd w:fill="FFFFFF"/>
          </w:tcPr>
          <w:p>
            <w:pPr>
              <w:spacing w:after="40"/>
            </w:pPr>
            <w:r>
              <w:rPr>
                <w:sz w:val="18"/>
              </w:rPr>
              <w:t>Publication-based; not a visitor institution.</w:t>
            </w:r>
          </w:p>
        </w:tc>
      </w:tr>
    </w:tbl>
    <w:p>
      <w:pPr>
        <w:spacing w:after="120"/>
      </w:pPr>
    </w:p>
    <w:tbl>
      <w:tblPr>
        <w:tblW w:type="auto" w:w="0"/>
        <w:jc w:val="center"/>
        <w:tblLook w:firstColumn="1" w:firstRow="1" w:lastColumn="0" w:lastRow="0" w:noHBand="0" w:noVBand="1" w:val="04A0"/>
      </w:tblPr>
      <w:tblGrid>
        <w:gridCol w:w="9360"/>
      </w:tblGrid>
      <w:tr>
        <w:tc>
          <w:tcPr>
            <w:tcW w:type="dxa" w:w="9360"/>
            <w:shd w:fill="FDF4FF"/>
            <w:tcBorders>
              <w:top w:val="none"/>
              <w:left w:val="single" w:sz="24" w:space="0" w:color="6D28D9"/>
              <w:bottom w:val="none"/>
              <w:right w:val="none"/>
            </w:tcBorders>
          </w:tcPr>
          <w:p>
            <w:pPr>
              <w:spacing w:after="80"/>
              <w:ind w:left="144"/>
            </w:pPr>
            <w:r>
              <w:rPr>
                <w:rFonts w:ascii="Arial" w:hAnsi="Arial"/>
                <w:b/>
                <w:color w:val="6D28D9"/>
                <w:sz w:val="19"/>
              </w:rPr>
              <w:t>[HERITAGE INFRASTRUCTURE GAP: RECOMMENDATION]</w:t>
              <w:br/>
            </w:r>
            <w:r>
              <w:rPr>
                <w:sz w:val="19"/>
              </w:rPr>
              <w:t>Chanderi's museum infrastructure is limited compared to the richness of its heritage. A dedicated, well-resourced heritage interpretation centre covering both the archaeological/architectural and textile heritage would significantly enhance the visitor experience and the living heritage economy.</w:t>
            </w:r>
          </w:p>
        </w:tc>
      </w:tr>
    </w:tbl>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Georgia" w:hAnsi="Georgia"/>
      <w:color w:val="1C191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