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52. Source Registry &amp; Bibliography</w:t>
      </w:r>
    </w:p>
    <w:p>
      <w:pPr>
        <w:spacing w:before="280" w:after="120"/>
      </w:pPr>
      <w:r>
        <w:rPr>
          <w:rFonts w:ascii="Arial" w:hAnsi="Arial"/>
          <w:b/>
          <w:color w:val="6D28D9"/>
          <w:sz w:val="30"/>
        </w:rPr>
        <w:t>1. Source Hierarchy &amp; Registry</w:t>
      </w:r>
    </w:p>
    <w:p>
      <w:pPr>
        <w:spacing w:after="120" w:line="276" w:lineRule="auto"/>
      </w:pPr>
      <w:r>
        <w:rPr>
          <w:i w:val="0"/>
        </w:rPr>
        <w:t>All major historical, architectural, and textile claims in the Chanderi Research Package are traceable to one or more sources in the following registry. Sources are organized by tier from highest to lowest authority.</w:t>
      </w:r>
    </w:p>
    <w:p>
      <w:pPr>
        <w:spacing w:before="200" w:after="80"/>
      </w:pPr>
      <w:r>
        <w:rPr>
          <w:rFonts w:ascii="Arial" w:hAnsi="Arial"/>
          <w:b/>
          <w:color w:val="78350F"/>
          <w:sz w:val="26"/>
        </w:rPr>
        <w:t>TIER 1 — Primary / Official Sources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296"/>
            <w:shd w:fill="6D28D9"/>
          </w:tcPr>
          <w:p>
            <w:pPr>
              <w:spacing w:after="40"/>
              <w:jc w:val="left"/>
            </w:pPr>
            <w:r>
              <w:rPr>
                <w:rFonts w:ascii="Arial" w:hAnsi="Arial"/>
                <w:b/>
                <w:color w:val="FFFFFF"/>
                <w:sz w:val="19"/>
              </w:rPr>
              <w:t>Source ID</w:t>
            </w:r>
          </w:p>
        </w:tc>
        <w:tc>
          <w:tcPr>
            <w:tcW w:type="dxa" w:w="3600"/>
            <w:shd w:fill="6D28D9"/>
          </w:tcPr>
          <w:p>
            <w:pPr>
              <w:spacing w:after="40"/>
              <w:jc w:val="left"/>
            </w:pPr>
            <w:r>
              <w:rPr>
                <w:rFonts w:ascii="Arial" w:hAnsi="Arial"/>
                <w:b/>
                <w:color w:val="FFFFFF"/>
                <w:sz w:val="19"/>
              </w:rPr>
              <w:t>Title / Description</w:t>
            </w:r>
          </w:p>
        </w:tc>
        <w:tc>
          <w:tcPr>
            <w:tcW w:type="dxa" w:w="2880"/>
            <w:shd w:fill="6D28D9"/>
          </w:tcPr>
          <w:p>
            <w:pPr>
              <w:spacing w:after="40"/>
              <w:jc w:val="left"/>
            </w:pPr>
            <w:r>
              <w:rPr>
                <w:rFonts w:ascii="Arial" w:hAnsi="Arial"/>
                <w:b/>
                <w:color w:val="FFFFFF"/>
                <w:sz w:val="19"/>
              </w:rPr>
              <w:t>Author / Institution</w:t>
            </w:r>
          </w:p>
        </w:tc>
        <w:tc>
          <w:tcPr>
            <w:tcW w:type="dxa" w:w="1008"/>
            <w:shd w:fill="6D28D9"/>
          </w:tcPr>
          <w:p>
            <w:pPr>
              <w:spacing w:after="40"/>
              <w:jc w:val="left"/>
            </w:pPr>
            <w:r>
              <w:rPr>
                <w:rFonts w:ascii="Arial" w:hAnsi="Arial"/>
                <w:b/>
                <w:color w:val="FFFFFF"/>
                <w:sz w:val="19"/>
              </w:rPr>
              <w:t>Year</w:t>
            </w:r>
          </w:p>
        </w:tc>
        <w:tc>
          <w:tcPr>
            <w:tcW w:type="dxa" w:w="1728"/>
            <w:shd w:fill="6D28D9"/>
          </w:tcPr>
          <w:p>
            <w:pPr>
              <w:spacing w:after="40"/>
              <w:jc w:val="left"/>
            </w:pPr>
            <w:r>
              <w:rPr>
                <w:rFonts w:ascii="Arial" w:hAnsi="Arial"/>
                <w:b/>
                <w:color w:val="FFFFFF"/>
                <w:sz w:val="19"/>
              </w:rPr>
              <w:t>Type</w:t>
            </w:r>
          </w:p>
        </w:tc>
        <w:tc>
          <w:tcPr>
            <w:tcW w:type="dxa" w:w="2880"/>
            <w:shd w:fill="6D28D9"/>
          </w:tcPr>
          <w:p>
            <w:pPr>
              <w:spacing w:after="40"/>
              <w:jc w:val="left"/>
            </w:pPr>
            <w:r>
              <w:rPr>
                <w:rFonts w:ascii="Arial" w:hAnsi="Arial"/>
                <w:b/>
                <w:color w:val="FFFFFF"/>
                <w:sz w:val="19"/>
              </w:rPr>
              <w:t>Topics Covered</w:t>
            </w:r>
          </w:p>
        </w:tc>
        <w:tc>
          <w:tcPr>
            <w:tcW w:type="dxa" w:w="1152"/>
            <w:shd w:fill="6D28D9"/>
          </w:tcPr>
          <w:p>
            <w:pPr>
              <w:spacing w:after="40"/>
              <w:jc w:val="left"/>
            </w:pPr>
            <w:r>
              <w:rPr>
                <w:rFonts w:ascii="Arial" w:hAnsi="Arial"/>
                <w:b/>
                <w:color w:val="FFFFFF"/>
                <w:sz w:val="19"/>
              </w:rPr>
              <w:t>Reliability</w:t>
            </w:r>
          </w:p>
        </w:tc>
      </w:tr>
      <w:tr>
        <w:tc>
          <w:tcPr>
            <w:tcW w:type="dxa" w:w="1296"/>
            <w:shd w:fill="FFFFFF"/>
          </w:tcPr>
          <w:p>
            <w:pPr>
              <w:spacing w:after="40"/>
            </w:pPr>
            <w:r>
              <w:rPr>
                <w:sz w:val="18"/>
              </w:rPr>
              <w:t>CHA-S001</w:t>
            </w:r>
          </w:p>
        </w:tc>
        <w:tc>
          <w:tcPr>
            <w:tcW w:type="dxa" w:w="3600"/>
            <w:shd w:fill="FFFFFF"/>
          </w:tcPr>
          <w:p>
            <w:pPr>
              <w:spacing w:after="40"/>
            </w:pPr>
            <w:r>
              <w:rPr>
                <w:sz w:val="18"/>
              </w:rPr>
              <w:t>ASI documentation and heritage listing of Chanderi monuments</w:t>
            </w:r>
          </w:p>
        </w:tc>
        <w:tc>
          <w:tcPr>
            <w:tcW w:type="dxa" w:w="2880"/>
            <w:shd w:fill="FFFFFF"/>
          </w:tcPr>
          <w:p>
            <w:pPr>
              <w:spacing w:after="40"/>
            </w:pPr>
            <w:r>
              <w:rPr>
                <w:sz w:val="18"/>
              </w:rPr>
              <w:t>Archaeological Survey of India (Bhopal Circle)</w:t>
            </w:r>
          </w:p>
        </w:tc>
        <w:tc>
          <w:tcPr>
            <w:tcW w:type="dxa" w:w="1008"/>
            <w:shd w:fill="FFFFFF"/>
          </w:tcPr>
          <w:p>
            <w:pPr>
              <w:spacing w:after="40"/>
            </w:pPr>
            <w:r>
              <w:rPr>
                <w:sz w:val="18"/>
              </w:rPr>
              <w:t>Ongoing</w:t>
            </w:r>
          </w:p>
        </w:tc>
        <w:tc>
          <w:tcPr>
            <w:tcW w:type="dxa" w:w="1728"/>
            <w:shd w:fill="FFFFFF"/>
          </w:tcPr>
          <w:p>
            <w:pPr>
              <w:spacing w:after="40"/>
            </w:pPr>
            <w:r>
              <w:rPr>
                <w:sz w:val="18"/>
              </w:rPr>
              <w:t>Official government documentation</w:t>
            </w:r>
          </w:p>
        </w:tc>
        <w:tc>
          <w:tcPr>
            <w:tcW w:type="dxa" w:w="2880"/>
            <w:shd w:fill="FFFFFF"/>
          </w:tcPr>
          <w:p>
            <w:pPr>
              <w:spacing w:after="40"/>
            </w:pPr>
            <w:r>
              <w:rPr>
                <w:sz w:val="18"/>
              </w:rPr>
              <w:t>All monuments; fort; architectural descriptions; conservation status</w:t>
            </w:r>
          </w:p>
        </w:tc>
        <w:tc>
          <w:tcPr>
            <w:tcW w:type="dxa" w:w="1152"/>
            <w:shd w:fill="FFFFFF"/>
          </w:tcPr>
          <w:p>
            <w:pPr>
              <w:spacing w:after="40"/>
            </w:pPr>
            <w:r>
              <w:rPr>
                <w:sz w:val="18"/>
              </w:rPr>
              <w:t>HIGHEST</w:t>
            </w:r>
          </w:p>
        </w:tc>
      </w:tr>
      <w:tr>
        <w:tc>
          <w:tcPr>
            <w:tcW w:type="dxa" w:w="1296"/>
            <w:shd w:fill="F5F3FF"/>
          </w:tcPr>
          <w:p>
            <w:pPr>
              <w:spacing w:after="40"/>
            </w:pPr>
            <w:r>
              <w:rPr>
                <w:sz w:val="18"/>
              </w:rPr>
              <w:t>CHA-S002</w:t>
            </w:r>
          </w:p>
        </w:tc>
        <w:tc>
          <w:tcPr>
            <w:tcW w:type="dxa" w:w="3600"/>
            <w:shd w:fill="F5F3FF"/>
          </w:tcPr>
          <w:p>
            <w:pPr>
              <w:spacing w:after="40"/>
            </w:pPr>
            <w:r>
              <w:rPr>
                <w:sz w:val="18"/>
              </w:rPr>
              <w:t>Ministry of Culture — heritage town and monument records</w:t>
            </w:r>
          </w:p>
        </w:tc>
        <w:tc>
          <w:tcPr>
            <w:tcW w:type="dxa" w:w="2880"/>
            <w:shd w:fill="F5F3FF"/>
          </w:tcPr>
          <w:p>
            <w:pPr>
              <w:spacing w:after="40"/>
            </w:pPr>
            <w:r>
              <w:rPr>
                <w:sz w:val="18"/>
              </w:rPr>
              <w:t>Ministry of Culture, Govt. of India</w:t>
            </w:r>
          </w:p>
        </w:tc>
        <w:tc>
          <w:tcPr>
            <w:tcW w:type="dxa" w:w="1008"/>
            <w:shd w:fill="F5F3FF"/>
          </w:tcPr>
          <w:p>
            <w:pPr>
              <w:spacing w:after="40"/>
            </w:pPr>
            <w:r>
              <w:rPr>
                <w:sz w:val="18"/>
              </w:rPr>
              <w:t>Ongoing</w:t>
            </w:r>
          </w:p>
        </w:tc>
        <w:tc>
          <w:tcPr>
            <w:tcW w:type="dxa" w:w="1728"/>
            <w:shd w:fill="F5F3FF"/>
          </w:tcPr>
          <w:p>
            <w:pPr>
              <w:spacing w:after="40"/>
            </w:pPr>
            <w:r>
              <w:rPr>
                <w:sz w:val="18"/>
              </w:rPr>
              <w:t>Official government records</w:t>
            </w:r>
          </w:p>
        </w:tc>
        <w:tc>
          <w:tcPr>
            <w:tcW w:type="dxa" w:w="2880"/>
            <w:shd w:fill="F5F3FF"/>
          </w:tcPr>
          <w:p>
            <w:pPr>
              <w:spacing w:after="40"/>
            </w:pPr>
            <w:r>
              <w:rPr>
                <w:sz w:val="18"/>
              </w:rPr>
              <w:t>Heritage designation; conservation policy</w:t>
            </w:r>
          </w:p>
        </w:tc>
        <w:tc>
          <w:tcPr>
            <w:tcW w:type="dxa" w:w="1152"/>
            <w:shd w:fill="F5F3FF"/>
          </w:tcPr>
          <w:p>
            <w:pPr>
              <w:spacing w:after="40"/>
            </w:pPr>
            <w:r>
              <w:rPr>
                <w:sz w:val="18"/>
              </w:rPr>
              <w:t>HIGHEST</w:t>
            </w:r>
          </w:p>
        </w:tc>
      </w:tr>
      <w:tr>
        <w:tc>
          <w:tcPr>
            <w:tcW w:type="dxa" w:w="1296"/>
            <w:shd w:fill="FFFFFF"/>
          </w:tcPr>
          <w:p>
            <w:pPr>
              <w:spacing w:after="40"/>
            </w:pPr>
            <w:r>
              <w:rPr>
                <w:sz w:val="18"/>
              </w:rPr>
              <w:t>CHA-S003</w:t>
            </w:r>
          </w:p>
        </w:tc>
        <w:tc>
          <w:tcPr>
            <w:tcW w:type="dxa" w:w="3600"/>
            <w:shd w:fill="FFFFFF"/>
          </w:tcPr>
          <w:p>
            <w:pPr>
              <w:spacing w:after="40"/>
            </w:pPr>
            <w:r>
              <w:rPr>
                <w:sz w:val="18"/>
              </w:rPr>
              <w:t>Baburnama (Memoirs of Babur)</w:t>
            </w:r>
          </w:p>
        </w:tc>
        <w:tc>
          <w:tcPr>
            <w:tcW w:type="dxa" w:w="2880"/>
            <w:shd w:fill="FFFFFF"/>
          </w:tcPr>
          <w:p>
            <w:pPr>
              <w:spacing w:after="40"/>
            </w:pPr>
            <w:r>
              <w:rPr>
                <w:sz w:val="18"/>
              </w:rPr>
              <w:t>Zahir-ud-Din Muhammad Babur; tr. Wheeler M. Thackston (2002)</w:t>
            </w:r>
          </w:p>
        </w:tc>
        <w:tc>
          <w:tcPr>
            <w:tcW w:type="dxa" w:w="1008"/>
            <w:shd w:fill="FFFFFF"/>
          </w:tcPr>
          <w:p>
            <w:pPr>
              <w:spacing w:after="40"/>
            </w:pPr>
            <w:r>
              <w:rPr>
                <w:sz w:val="18"/>
              </w:rPr>
              <w:t>1530 CE (orig.); 2002 (tr.)</w:t>
            </w:r>
          </w:p>
        </w:tc>
        <w:tc>
          <w:tcPr>
            <w:tcW w:type="dxa" w:w="1728"/>
            <w:shd w:fill="FFFFFF"/>
          </w:tcPr>
          <w:p>
            <w:pPr>
              <w:spacing w:after="40"/>
            </w:pPr>
            <w:r>
              <w:rPr>
                <w:sz w:val="18"/>
              </w:rPr>
              <w:t>Primary historical source — first-hand memoir</w:t>
            </w:r>
          </w:p>
        </w:tc>
        <w:tc>
          <w:tcPr>
            <w:tcW w:type="dxa" w:w="2880"/>
            <w:shd w:fill="FFFFFF"/>
          </w:tcPr>
          <w:p>
            <w:pPr>
              <w:spacing w:after="40"/>
            </w:pPr>
            <w:r>
              <w:rPr>
                <w:sz w:val="18"/>
              </w:rPr>
              <w:t>Battle of Chanderi (1528); political context; Mughal conquest</w:t>
            </w:r>
          </w:p>
        </w:tc>
        <w:tc>
          <w:tcPr>
            <w:tcW w:type="dxa" w:w="1152"/>
            <w:shd w:fill="FFFFFF"/>
          </w:tcPr>
          <w:p>
            <w:pPr>
              <w:spacing w:after="40"/>
            </w:pPr>
            <w:r>
              <w:rPr>
                <w:sz w:val="18"/>
              </w:rPr>
              <w:t>HIGHEST — primary source</w:t>
            </w:r>
          </w:p>
        </w:tc>
      </w:tr>
      <w:tr>
        <w:tc>
          <w:tcPr>
            <w:tcW w:type="dxa" w:w="1296"/>
            <w:shd w:fill="F5F3FF"/>
          </w:tcPr>
          <w:p>
            <w:pPr>
              <w:spacing w:after="40"/>
            </w:pPr>
            <w:r>
              <w:rPr>
                <w:sz w:val="18"/>
              </w:rPr>
              <w:t>CHA-S004</w:t>
            </w:r>
          </w:p>
        </w:tc>
        <w:tc>
          <w:tcPr>
            <w:tcW w:type="dxa" w:w="3600"/>
            <w:shd w:fill="F5F3FF"/>
          </w:tcPr>
          <w:p>
            <w:pPr>
              <w:spacing w:after="40"/>
            </w:pPr>
            <w:r>
              <w:rPr>
                <w:sz w:val="18"/>
              </w:rPr>
              <w:t>Madhya Pradesh State Tourism / District Gazetteer — Chanderi</w:t>
            </w:r>
          </w:p>
        </w:tc>
        <w:tc>
          <w:tcPr>
            <w:tcW w:type="dxa" w:w="2880"/>
            <w:shd w:fill="F5F3FF"/>
          </w:tcPr>
          <w:p>
            <w:pPr>
              <w:spacing w:after="40"/>
            </w:pPr>
            <w:r>
              <w:rPr>
                <w:sz w:val="18"/>
              </w:rPr>
              <w:t>Govt. of Madhya Pradesh</w:t>
            </w:r>
          </w:p>
        </w:tc>
        <w:tc>
          <w:tcPr>
            <w:tcW w:type="dxa" w:w="1008"/>
            <w:shd w:fill="F5F3FF"/>
          </w:tcPr>
          <w:p>
            <w:pPr>
              <w:spacing w:after="40"/>
            </w:pPr>
            <w:r>
              <w:rPr>
                <w:sz w:val="18"/>
              </w:rPr>
              <w:t>Various</w:t>
            </w:r>
          </w:p>
        </w:tc>
        <w:tc>
          <w:tcPr>
            <w:tcW w:type="dxa" w:w="1728"/>
            <w:shd w:fill="F5F3FF"/>
          </w:tcPr>
          <w:p>
            <w:pPr>
              <w:spacing w:after="40"/>
            </w:pPr>
            <w:r>
              <w:rPr>
                <w:sz w:val="18"/>
              </w:rPr>
              <w:t>Official government documentation</w:t>
            </w:r>
          </w:p>
        </w:tc>
        <w:tc>
          <w:tcPr>
            <w:tcW w:type="dxa" w:w="2880"/>
            <w:shd w:fill="F5F3FF"/>
          </w:tcPr>
          <w:p>
            <w:pPr>
              <w:spacing w:after="40"/>
            </w:pPr>
            <w:r>
              <w:rPr>
                <w:sz w:val="18"/>
              </w:rPr>
              <w:t>Geography; administration; tourism; cultural practices; festivals</w:t>
            </w:r>
          </w:p>
        </w:tc>
        <w:tc>
          <w:tcPr>
            <w:tcW w:type="dxa" w:w="1152"/>
            <w:shd w:fill="F5F3FF"/>
          </w:tcPr>
          <w:p>
            <w:pPr>
              <w:spacing w:after="40"/>
            </w:pPr>
            <w:r>
              <w:rPr>
                <w:sz w:val="18"/>
              </w:rPr>
              <w:t>HIGH</w:t>
            </w:r>
          </w:p>
        </w:tc>
      </w:tr>
      <w:tr>
        <w:tc>
          <w:tcPr>
            <w:tcW w:type="dxa" w:w="1296"/>
            <w:shd w:fill="FFFFFF"/>
          </w:tcPr>
          <w:p>
            <w:pPr>
              <w:spacing w:after="40"/>
            </w:pPr>
            <w:r>
              <w:rPr>
                <w:sz w:val="18"/>
              </w:rPr>
              <w:t>CHA-S005</w:t>
            </w:r>
          </w:p>
        </w:tc>
        <w:tc>
          <w:tcPr>
            <w:tcW w:type="dxa" w:w="3600"/>
            <w:shd w:fill="FFFFFF"/>
          </w:tcPr>
          <w:p>
            <w:pPr>
              <w:spacing w:after="40"/>
            </w:pPr>
            <w:r>
              <w:rPr>
                <w:sz w:val="18"/>
              </w:rPr>
              <w:t>DC Handlooms / Ministry of Textiles — Chanderi handloom documentation</w:t>
            </w:r>
          </w:p>
        </w:tc>
        <w:tc>
          <w:tcPr>
            <w:tcW w:type="dxa" w:w="2880"/>
            <w:shd w:fill="FFFFFF"/>
          </w:tcPr>
          <w:p>
            <w:pPr>
              <w:spacing w:after="40"/>
            </w:pPr>
            <w:r>
              <w:rPr>
                <w:sz w:val="18"/>
              </w:rPr>
              <w:t>Office of the Development Commissioner (Handlooms), Ministry of Textiles, Govt. of India</w:t>
            </w:r>
          </w:p>
        </w:tc>
        <w:tc>
          <w:tcPr>
            <w:tcW w:type="dxa" w:w="1008"/>
            <w:shd w:fill="FFFFFF"/>
          </w:tcPr>
          <w:p>
            <w:pPr>
              <w:spacing w:after="40"/>
            </w:pPr>
            <w:r>
              <w:rPr>
                <w:sz w:val="18"/>
              </w:rPr>
              <w:t>Various</w:t>
            </w:r>
          </w:p>
        </w:tc>
        <w:tc>
          <w:tcPr>
            <w:tcW w:type="dxa" w:w="1728"/>
            <w:shd w:fill="FFFFFF"/>
          </w:tcPr>
          <w:p>
            <w:pPr>
              <w:spacing w:after="40"/>
            </w:pPr>
            <w:r>
              <w:rPr>
                <w:sz w:val="18"/>
              </w:rPr>
              <w:t>Official textile industry documentation</w:t>
            </w:r>
          </w:p>
        </w:tc>
        <w:tc>
          <w:tcPr>
            <w:tcW w:type="dxa" w:w="2880"/>
            <w:shd w:fill="FFFFFF"/>
          </w:tcPr>
          <w:p>
            <w:pPr>
              <w:spacing w:after="40"/>
            </w:pPr>
            <w:r>
              <w:rPr>
                <w:sz w:val="18"/>
              </w:rPr>
              <w:t>Weaving process; yarn; loom technology; weaver community; economy</w:t>
            </w:r>
          </w:p>
        </w:tc>
        <w:tc>
          <w:tcPr>
            <w:tcW w:type="dxa" w:w="1152"/>
            <w:shd w:fill="FFFFFF"/>
          </w:tcPr>
          <w:p>
            <w:pPr>
              <w:spacing w:after="40"/>
            </w:pPr>
            <w:r>
              <w:rPr>
                <w:sz w:val="18"/>
              </w:rPr>
              <w:t>HIGHEST (textiles)</w:t>
            </w:r>
          </w:p>
        </w:tc>
      </w:tr>
      <w:tr>
        <w:tc>
          <w:tcPr>
            <w:tcW w:type="dxa" w:w="1296"/>
            <w:shd w:fill="F5F3FF"/>
          </w:tcPr>
          <w:p>
            <w:pPr>
              <w:spacing w:after="40"/>
            </w:pPr>
            <w:r>
              <w:rPr>
                <w:sz w:val="18"/>
              </w:rPr>
              <w:t>CHA-S006</w:t>
            </w:r>
          </w:p>
        </w:tc>
        <w:tc>
          <w:tcPr>
            <w:tcW w:type="dxa" w:w="3600"/>
            <w:shd w:fill="F5F3FF"/>
          </w:tcPr>
          <w:p>
            <w:pPr>
              <w:spacing w:after="40"/>
            </w:pPr>
            <w:r>
              <w:rPr>
                <w:sz w:val="18"/>
              </w:rPr>
              <w:t>GI Registry — Chanderi Fabric Geographical Indication</w:t>
            </w:r>
          </w:p>
        </w:tc>
        <w:tc>
          <w:tcPr>
            <w:tcW w:type="dxa" w:w="2880"/>
            <w:shd w:fill="F5F3FF"/>
          </w:tcPr>
          <w:p>
            <w:pPr>
              <w:spacing w:after="40"/>
            </w:pPr>
            <w:r>
              <w:rPr>
                <w:sz w:val="18"/>
              </w:rPr>
              <w:t>Geographical Indications Registry, Govt. of India</w:t>
            </w:r>
          </w:p>
        </w:tc>
        <w:tc>
          <w:tcPr>
            <w:tcW w:type="dxa" w:w="1008"/>
            <w:shd w:fill="F5F3FF"/>
          </w:tcPr>
          <w:p>
            <w:pPr>
              <w:spacing w:after="40"/>
            </w:pPr>
            <w:r>
              <w:rPr>
                <w:sz w:val="18"/>
              </w:rPr>
              <w:t>2005</w:t>
            </w:r>
          </w:p>
        </w:tc>
        <w:tc>
          <w:tcPr>
            <w:tcW w:type="dxa" w:w="1728"/>
            <w:shd w:fill="F5F3FF"/>
          </w:tcPr>
          <w:p>
            <w:pPr>
              <w:spacing w:after="40"/>
            </w:pPr>
            <w:r>
              <w:rPr>
                <w:sz w:val="18"/>
              </w:rPr>
              <w:t>Legal registration document</w:t>
            </w:r>
          </w:p>
        </w:tc>
        <w:tc>
          <w:tcPr>
            <w:tcW w:type="dxa" w:w="2880"/>
            <w:shd w:fill="F5F3FF"/>
          </w:tcPr>
          <w:p>
            <w:pPr>
              <w:spacing w:after="40"/>
            </w:pPr>
            <w:r>
              <w:rPr>
                <w:sz w:val="18"/>
              </w:rPr>
              <w:t>GI tag; fabric definition; authenticity criteria</w:t>
            </w:r>
          </w:p>
        </w:tc>
        <w:tc>
          <w:tcPr>
            <w:tcW w:type="dxa" w:w="1152"/>
            <w:shd w:fill="F5F3FF"/>
          </w:tcPr>
          <w:p>
            <w:pPr>
              <w:spacing w:after="40"/>
            </w:pPr>
            <w:r>
              <w:rPr>
                <w:sz w:val="18"/>
              </w:rPr>
              <w:t>HIGHEST (GI matters)</w:t>
            </w:r>
          </w:p>
        </w:tc>
      </w:tr>
    </w:tbl>
    <w:p>
      <w:pPr>
        <w:spacing w:after="120"/>
      </w:pPr>
    </w:p>
    <w:p>
      <w:pPr>
        <w:spacing w:before="200" w:after="80"/>
      </w:pPr>
      <w:r>
        <w:rPr>
          <w:rFonts w:ascii="Arial" w:hAnsi="Arial"/>
          <w:b/>
          <w:color w:val="78350F"/>
          <w:sz w:val="26"/>
        </w:rPr>
        <w:t>TIER 2 — Academic &amp; Scholarly Sources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296"/>
            <w:shd w:fill="6D28D9"/>
          </w:tcPr>
          <w:p>
            <w:pPr>
              <w:spacing w:after="40"/>
              <w:jc w:val="left"/>
            </w:pPr>
            <w:r>
              <w:rPr>
                <w:rFonts w:ascii="Arial" w:hAnsi="Arial"/>
                <w:b/>
                <w:color w:val="FFFFFF"/>
                <w:sz w:val="19"/>
              </w:rPr>
              <w:t>Source ID</w:t>
            </w:r>
          </w:p>
        </w:tc>
        <w:tc>
          <w:tcPr>
            <w:tcW w:type="dxa" w:w="3600"/>
            <w:shd w:fill="6D28D9"/>
          </w:tcPr>
          <w:p>
            <w:pPr>
              <w:spacing w:after="40"/>
              <w:jc w:val="left"/>
            </w:pPr>
            <w:r>
              <w:rPr>
                <w:rFonts w:ascii="Arial" w:hAnsi="Arial"/>
                <w:b/>
                <w:color w:val="FFFFFF"/>
                <w:sz w:val="19"/>
              </w:rPr>
              <w:t>Title / Description</w:t>
            </w:r>
          </w:p>
        </w:tc>
        <w:tc>
          <w:tcPr>
            <w:tcW w:type="dxa" w:w="2880"/>
            <w:shd w:fill="6D28D9"/>
          </w:tcPr>
          <w:p>
            <w:pPr>
              <w:spacing w:after="40"/>
              <w:jc w:val="left"/>
            </w:pPr>
            <w:r>
              <w:rPr>
                <w:rFonts w:ascii="Arial" w:hAnsi="Arial"/>
                <w:b/>
                <w:color w:val="FFFFFF"/>
                <w:sz w:val="19"/>
              </w:rPr>
              <w:t>Author / Institution</w:t>
            </w:r>
          </w:p>
        </w:tc>
        <w:tc>
          <w:tcPr>
            <w:tcW w:type="dxa" w:w="1008"/>
            <w:shd w:fill="6D28D9"/>
          </w:tcPr>
          <w:p>
            <w:pPr>
              <w:spacing w:after="40"/>
              <w:jc w:val="left"/>
            </w:pPr>
            <w:r>
              <w:rPr>
                <w:rFonts w:ascii="Arial" w:hAnsi="Arial"/>
                <w:b/>
                <w:color w:val="FFFFFF"/>
                <w:sz w:val="19"/>
              </w:rPr>
              <w:t>Year</w:t>
            </w:r>
          </w:p>
        </w:tc>
        <w:tc>
          <w:tcPr>
            <w:tcW w:type="dxa" w:w="1728"/>
            <w:shd w:fill="6D28D9"/>
          </w:tcPr>
          <w:p>
            <w:pPr>
              <w:spacing w:after="40"/>
              <w:jc w:val="left"/>
            </w:pPr>
            <w:r>
              <w:rPr>
                <w:rFonts w:ascii="Arial" w:hAnsi="Arial"/>
                <w:b/>
                <w:color w:val="FFFFFF"/>
                <w:sz w:val="19"/>
              </w:rPr>
              <w:t>Type</w:t>
            </w:r>
          </w:p>
        </w:tc>
        <w:tc>
          <w:tcPr>
            <w:tcW w:type="dxa" w:w="2880"/>
            <w:shd w:fill="6D28D9"/>
          </w:tcPr>
          <w:p>
            <w:pPr>
              <w:spacing w:after="40"/>
              <w:jc w:val="left"/>
            </w:pPr>
            <w:r>
              <w:rPr>
                <w:rFonts w:ascii="Arial" w:hAnsi="Arial"/>
                <w:b/>
                <w:color w:val="FFFFFF"/>
                <w:sz w:val="19"/>
              </w:rPr>
              <w:t>Topics Covered</w:t>
            </w:r>
          </w:p>
        </w:tc>
        <w:tc>
          <w:tcPr>
            <w:tcW w:type="dxa" w:w="1152"/>
            <w:shd w:fill="6D28D9"/>
          </w:tcPr>
          <w:p>
            <w:pPr>
              <w:spacing w:after="40"/>
              <w:jc w:val="left"/>
            </w:pPr>
            <w:r>
              <w:rPr>
                <w:rFonts w:ascii="Arial" w:hAnsi="Arial"/>
                <w:b/>
                <w:color w:val="FFFFFF"/>
                <w:sz w:val="19"/>
              </w:rPr>
              <w:t>Reliability</w:t>
            </w:r>
          </w:p>
        </w:tc>
      </w:tr>
      <w:tr>
        <w:tc>
          <w:tcPr>
            <w:tcW w:type="dxa" w:w="1296"/>
            <w:shd w:fill="FFFFFF"/>
          </w:tcPr>
          <w:p>
            <w:pPr>
              <w:spacing w:after="40"/>
            </w:pPr>
            <w:r>
              <w:rPr>
                <w:sz w:val="18"/>
              </w:rPr>
              <w:t>CHA-S007</w:t>
            </w:r>
          </w:p>
        </w:tc>
        <w:tc>
          <w:tcPr>
            <w:tcW w:type="dxa" w:w="3600"/>
            <w:shd w:fill="FFFFFF"/>
          </w:tcPr>
          <w:p>
            <w:pPr>
              <w:spacing w:after="40"/>
            </w:pPr>
            <w:r>
              <w:rPr>
                <w:sz w:val="18"/>
              </w:rPr>
              <w:t>Regional historical chronicles and Bundela-period histories</w:t>
            </w:r>
          </w:p>
        </w:tc>
        <w:tc>
          <w:tcPr>
            <w:tcW w:type="dxa" w:w="2880"/>
            <w:shd w:fill="FFFFFF"/>
          </w:tcPr>
          <w:p>
            <w:pPr>
              <w:spacing w:after="40"/>
            </w:pPr>
            <w:r>
              <w:rPr>
                <w:sz w:val="18"/>
              </w:rPr>
              <w:t>Various regional historians; Rajput chronicle tradition</w:t>
            </w:r>
          </w:p>
        </w:tc>
        <w:tc>
          <w:tcPr>
            <w:tcW w:type="dxa" w:w="1008"/>
            <w:shd w:fill="FFFFFF"/>
          </w:tcPr>
          <w:p>
            <w:pPr>
              <w:spacing w:after="40"/>
            </w:pPr>
            <w:r>
              <w:rPr>
                <w:sz w:val="18"/>
              </w:rPr>
              <w:t>Various medieval to colonial</w:t>
            </w:r>
          </w:p>
        </w:tc>
        <w:tc>
          <w:tcPr>
            <w:tcW w:type="dxa" w:w="1728"/>
            <w:shd w:fill="FFFFFF"/>
          </w:tcPr>
          <w:p>
            <w:pPr>
              <w:spacing w:after="40"/>
            </w:pPr>
            <w:r>
              <w:rPr>
                <w:sz w:val="18"/>
              </w:rPr>
              <w:t>Secondary chronicles; regional histories</w:t>
            </w:r>
          </w:p>
        </w:tc>
        <w:tc>
          <w:tcPr>
            <w:tcW w:type="dxa" w:w="2880"/>
            <w:shd w:fill="FFFFFF"/>
          </w:tcPr>
          <w:p>
            <w:pPr>
              <w:spacing w:after="40"/>
            </w:pPr>
            <w:r>
              <w:rPr>
                <w:sz w:val="18"/>
              </w:rPr>
              <w:t>Bundela period; Rajput history; jauhar traditions; Maratha period</w:t>
            </w:r>
          </w:p>
        </w:tc>
        <w:tc>
          <w:tcPr>
            <w:tcW w:type="dxa" w:w="1152"/>
            <w:shd w:fill="FFFFFF"/>
          </w:tcPr>
          <w:p>
            <w:pPr>
              <w:spacing w:after="40"/>
            </w:pPr>
            <w:r>
              <w:rPr>
                <w:sz w:val="18"/>
              </w:rPr>
              <w:t>MEDIUM-HIGH (verify individual claims)</w:t>
            </w:r>
          </w:p>
        </w:tc>
      </w:tr>
      <w:tr>
        <w:tc>
          <w:tcPr>
            <w:tcW w:type="dxa" w:w="1296"/>
            <w:shd w:fill="F5F3FF"/>
          </w:tcPr>
          <w:p>
            <w:pPr>
              <w:spacing w:after="40"/>
            </w:pPr>
            <w:r>
              <w:rPr>
                <w:sz w:val="18"/>
              </w:rPr>
              <w:t>CHA-S008</w:t>
            </w:r>
          </w:p>
        </w:tc>
        <w:tc>
          <w:tcPr>
            <w:tcW w:type="dxa" w:w="3600"/>
            <w:shd w:fill="F5F3FF"/>
          </w:tcPr>
          <w:p>
            <w:pPr>
              <w:spacing w:after="40"/>
            </w:pPr>
            <w:r>
              <w:rPr>
                <w:sz w:val="18"/>
              </w:rPr>
              <w:t>Firishta — Tarikh-i-Firishta (History of the Sultans of India)</w:t>
            </w:r>
          </w:p>
        </w:tc>
        <w:tc>
          <w:tcPr>
            <w:tcW w:type="dxa" w:w="2880"/>
            <w:shd w:fill="F5F3FF"/>
          </w:tcPr>
          <w:p>
            <w:pPr>
              <w:spacing w:after="40"/>
            </w:pPr>
            <w:r>
              <w:rPr>
                <w:sz w:val="18"/>
              </w:rPr>
              <w:t>Muhammad Qasim Firishta</w:t>
            </w:r>
          </w:p>
        </w:tc>
        <w:tc>
          <w:tcPr>
            <w:tcW w:type="dxa" w:w="1008"/>
            <w:shd w:fill="F5F3FF"/>
          </w:tcPr>
          <w:p>
            <w:pPr>
              <w:spacing w:after="40"/>
            </w:pPr>
            <w:r>
              <w:rPr>
                <w:sz w:val="18"/>
              </w:rPr>
              <w:t>c. 1606–1611 CE</w:t>
            </w:r>
          </w:p>
        </w:tc>
        <w:tc>
          <w:tcPr>
            <w:tcW w:type="dxa" w:w="1728"/>
            <w:shd w:fill="F5F3FF"/>
          </w:tcPr>
          <w:p>
            <w:pPr>
              <w:spacing w:after="40"/>
            </w:pPr>
            <w:r>
              <w:rPr>
                <w:sz w:val="18"/>
              </w:rPr>
              <w:t>Medieval Persian chronicle</w:t>
            </w:r>
          </w:p>
        </w:tc>
        <w:tc>
          <w:tcPr>
            <w:tcW w:type="dxa" w:w="2880"/>
            <w:shd w:fill="F5F3FF"/>
          </w:tcPr>
          <w:p>
            <w:pPr>
              <w:spacing w:after="40"/>
            </w:pPr>
            <w:r>
              <w:rPr>
                <w:sz w:val="18"/>
              </w:rPr>
              <w:t>Malwa Sultanate history; Delhi Sultanate context</w:t>
            </w:r>
          </w:p>
        </w:tc>
        <w:tc>
          <w:tcPr>
            <w:tcW w:type="dxa" w:w="1152"/>
            <w:shd w:fill="F5F3FF"/>
          </w:tcPr>
          <w:p>
            <w:pPr>
              <w:spacing w:after="40"/>
            </w:pPr>
            <w:r>
              <w:rPr>
                <w:sz w:val="18"/>
              </w:rPr>
              <w:t>HIGH (chronicle source)</w:t>
            </w:r>
          </w:p>
        </w:tc>
      </w:tr>
      <w:tr>
        <w:tc>
          <w:tcPr>
            <w:tcW w:type="dxa" w:w="1296"/>
            <w:shd w:fill="FFFFFF"/>
          </w:tcPr>
          <w:p>
            <w:pPr>
              <w:spacing w:after="40"/>
            </w:pPr>
            <w:r>
              <w:rPr>
                <w:sz w:val="18"/>
              </w:rPr>
              <w:t>CHA-S009</w:t>
            </w:r>
          </w:p>
        </w:tc>
        <w:tc>
          <w:tcPr>
            <w:tcW w:type="dxa" w:w="3600"/>
            <w:shd w:fill="FFFFFF"/>
          </w:tcPr>
          <w:p>
            <w:pPr>
              <w:spacing w:after="40"/>
            </w:pPr>
            <w:r>
              <w:rPr>
                <w:sz w:val="18"/>
              </w:rPr>
              <w:t>Tabaqat-i-Akbari</w:t>
            </w:r>
          </w:p>
        </w:tc>
        <w:tc>
          <w:tcPr>
            <w:tcW w:type="dxa" w:w="2880"/>
            <w:shd w:fill="FFFFFF"/>
          </w:tcPr>
          <w:p>
            <w:pPr>
              <w:spacing w:after="40"/>
            </w:pPr>
            <w:r>
              <w:rPr>
                <w:sz w:val="18"/>
              </w:rPr>
              <w:t>Nizam-ud-Din Ahmad</w:t>
            </w:r>
          </w:p>
        </w:tc>
        <w:tc>
          <w:tcPr>
            <w:tcW w:type="dxa" w:w="1008"/>
            <w:shd w:fill="FFFFFF"/>
          </w:tcPr>
          <w:p>
            <w:pPr>
              <w:spacing w:after="40"/>
            </w:pPr>
            <w:r>
              <w:rPr>
                <w:sz w:val="18"/>
              </w:rPr>
              <w:t>c. 1593–1594 CE</w:t>
            </w:r>
          </w:p>
        </w:tc>
        <w:tc>
          <w:tcPr>
            <w:tcW w:type="dxa" w:w="1728"/>
            <w:shd w:fill="FFFFFF"/>
          </w:tcPr>
          <w:p>
            <w:pPr>
              <w:spacing w:after="40"/>
            </w:pPr>
            <w:r>
              <w:rPr>
                <w:sz w:val="18"/>
              </w:rPr>
              <w:t>Mughal-period historical chronicle</w:t>
            </w:r>
          </w:p>
        </w:tc>
        <w:tc>
          <w:tcPr>
            <w:tcW w:type="dxa" w:w="2880"/>
            <w:shd w:fill="FFFFFF"/>
          </w:tcPr>
          <w:p>
            <w:pPr>
              <w:spacing w:after="40"/>
            </w:pPr>
            <w:r>
              <w:rPr>
                <w:sz w:val="18"/>
              </w:rPr>
              <w:t>Akbari administration; Chanderi as sarkar in Malwa Suba; Sher Shah period</w:t>
            </w:r>
          </w:p>
        </w:tc>
        <w:tc>
          <w:tcPr>
            <w:tcW w:type="dxa" w:w="1152"/>
            <w:shd w:fill="FFFFFF"/>
          </w:tcPr>
          <w:p>
            <w:pPr>
              <w:spacing w:after="40"/>
            </w:pPr>
            <w:r>
              <w:rPr>
                <w:sz w:val="18"/>
              </w:rPr>
              <w:t>HIGH (chronicle source)</w:t>
            </w:r>
          </w:p>
        </w:tc>
      </w:tr>
      <w:tr>
        <w:tc>
          <w:tcPr>
            <w:tcW w:type="dxa" w:w="1296"/>
            <w:shd w:fill="F5F3FF"/>
          </w:tcPr>
          <w:p>
            <w:pPr>
              <w:spacing w:after="40"/>
            </w:pPr>
            <w:r>
              <w:rPr>
                <w:sz w:val="18"/>
              </w:rPr>
              <w:t>CHA-S010</w:t>
            </w:r>
          </w:p>
        </w:tc>
        <w:tc>
          <w:tcPr>
            <w:tcW w:type="dxa" w:w="3600"/>
            <w:shd w:fill="F5F3FF"/>
          </w:tcPr>
          <w:p>
            <w:pPr>
              <w:spacing w:after="40"/>
            </w:pPr>
            <w:r>
              <w:rPr>
                <w:sz w:val="18"/>
              </w:rPr>
              <w:t>INTACH Heritage Documentation — Chanderi</w:t>
            </w:r>
          </w:p>
        </w:tc>
        <w:tc>
          <w:tcPr>
            <w:tcW w:type="dxa" w:w="2880"/>
            <w:shd w:fill="F5F3FF"/>
          </w:tcPr>
          <w:p>
            <w:pPr>
              <w:spacing w:after="40"/>
            </w:pPr>
            <w:r>
              <w:rPr>
                <w:sz w:val="18"/>
              </w:rPr>
              <w:t>Indian National Trust for Art and Cultural Heritage</w:t>
            </w:r>
          </w:p>
        </w:tc>
        <w:tc>
          <w:tcPr>
            <w:tcW w:type="dxa" w:w="1008"/>
            <w:shd w:fill="F5F3FF"/>
          </w:tcPr>
          <w:p>
            <w:pPr>
              <w:spacing w:after="40"/>
            </w:pPr>
            <w:r>
              <w:rPr>
                <w:sz w:val="18"/>
              </w:rPr>
              <w:t>Various</w:t>
            </w:r>
          </w:p>
        </w:tc>
        <w:tc>
          <w:tcPr>
            <w:tcW w:type="dxa" w:w="1728"/>
            <w:shd w:fill="F5F3FF"/>
          </w:tcPr>
          <w:p>
            <w:pPr>
              <w:spacing w:after="40"/>
            </w:pPr>
            <w:r>
              <w:rPr>
                <w:sz w:val="18"/>
              </w:rPr>
              <w:t>Heritage survey documentation</w:t>
            </w:r>
          </w:p>
        </w:tc>
        <w:tc>
          <w:tcPr>
            <w:tcW w:type="dxa" w:w="2880"/>
            <w:shd w:fill="F5F3FF"/>
          </w:tcPr>
          <w:p>
            <w:pPr>
              <w:spacing w:after="40"/>
            </w:pPr>
            <w:r>
              <w:rPr>
                <w:sz w:val="18"/>
              </w:rPr>
              <w:t>Monument inventory; conservation assessment; architectural descriptions</w:t>
            </w:r>
          </w:p>
        </w:tc>
        <w:tc>
          <w:tcPr>
            <w:tcW w:type="dxa" w:w="1152"/>
            <w:shd w:fill="F5F3FF"/>
          </w:tcPr>
          <w:p>
            <w:pPr>
              <w:spacing w:after="40"/>
            </w:pPr>
            <w:r>
              <w:rPr>
                <w:sz w:val="18"/>
              </w:rPr>
              <w:t>HIGH</w:t>
            </w:r>
          </w:p>
        </w:tc>
      </w:tr>
      <w:tr>
        <w:tc>
          <w:tcPr>
            <w:tcW w:type="dxa" w:w="1296"/>
            <w:shd w:fill="FFFFFF"/>
          </w:tcPr>
          <w:p>
            <w:pPr>
              <w:spacing w:after="40"/>
            </w:pPr>
            <w:r>
              <w:rPr>
                <w:sz w:val="18"/>
              </w:rPr>
              <w:t>CHA-S011</w:t>
            </w:r>
          </w:p>
        </w:tc>
        <w:tc>
          <w:tcPr>
            <w:tcW w:type="dxa" w:w="3600"/>
            <w:shd w:fill="FFFFFF"/>
          </w:tcPr>
          <w:p>
            <w:pPr>
              <w:spacing w:after="40"/>
            </w:pPr>
            <w:r>
              <w:rPr>
                <w:sz w:val="18"/>
              </w:rPr>
              <w:t>Scholarly articles on Malwa Sultanate architecture and Chanderi monuments</w:t>
            </w:r>
          </w:p>
        </w:tc>
        <w:tc>
          <w:tcPr>
            <w:tcW w:type="dxa" w:w="2880"/>
            <w:shd w:fill="FFFFFF"/>
          </w:tcPr>
          <w:p>
            <w:pPr>
              <w:spacing w:after="40"/>
            </w:pPr>
            <w:r>
              <w:rPr>
                <w:sz w:val="18"/>
              </w:rPr>
              <w:t>Academic journals; IGNCA publications; university theses</w:t>
            </w:r>
          </w:p>
        </w:tc>
        <w:tc>
          <w:tcPr>
            <w:tcW w:type="dxa" w:w="1008"/>
            <w:shd w:fill="FFFFFF"/>
          </w:tcPr>
          <w:p>
            <w:pPr>
              <w:spacing w:after="40"/>
            </w:pPr>
            <w:r>
              <w:rPr>
                <w:sz w:val="18"/>
              </w:rPr>
              <w:t>Various</w:t>
            </w:r>
          </w:p>
        </w:tc>
        <w:tc>
          <w:tcPr>
            <w:tcW w:type="dxa" w:w="1728"/>
            <w:shd w:fill="FFFFFF"/>
          </w:tcPr>
          <w:p>
            <w:pPr>
              <w:spacing w:after="40"/>
            </w:pPr>
            <w:r>
              <w:rPr>
                <w:sz w:val="18"/>
              </w:rPr>
              <w:t>Peer-reviewed academic research</w:t>
            </w:r>
          </w:p>
        </w:tc>
        <w:tc>
          <w:tcPr>
            <w:tcW w:type="dxa" w:w="2880"/>
            <w:shd w:fill="FFFFFF"/>
          </w:tcPr>
          <w:p>
            <w:pPr>
              <w:spacing w:after="40"/>
            </w:pPr>
            <w:r>
              <w:rPr>
                <w:sz w:val="18"/>
              </w:rPr>
              <w:t>Architectural analysis; stylistic dating; decorative features</w:t>
            </w:r>
          </w:p>
        </w:tc>
        <w:tc>
          <w:tcPr>
            <w:tcW w:type="dxa" w:w="1152"/>
            <w:shd w:fill="FFFFFF"/>
          </w:tcPr>
          <w:p>
            <w:pPr>
              <w:spacing w:after="40"/>
            </w:pPr>
            <w:r>
              <w:rPr>
                <w:sz w:val="18"/>
              </w:rPr>
              <w:t>HIGH</w:t>
            </w:r>
          </w:p>
        </w:tc>
      </w:tr>
      <w:tr>
        <w:tc>
          <w:tcPr>
            <w:tcW w:type="dxa" w:w="1296"/>
            <w:shd w:fill="F5F3FF"/>
          </w:tcPr>
          <w:p>
            <w:pPr>
              <w:spacing w:after="40"/>
            </w:pPr>
            <w:r>
              <w:rPr>
                <w:sz w:val="18"/>
              </w:rPr>
              <w:t>CHA-S012</w:t>
            </w:r>
          </w:p>
        </w:tc>
        <w:tc>
          <w:tcPr>
            <w:tcW w:type="dxa" w:w="3600"/>
            <w:shd w:fill="F5F3FF"/>
          </w:tcPr>
          <w:p>
            <w:pPr>
              <w:spacing w:after="40"/>
            </w:pPr>
            <w:r>
              <w:rPr>
                <w:sz w:val="18"/>
              </w:rPr>
              <w:t>Craft documentation — Chanderi handloom weaving</w:t>
            </w:r>
          </w:p>
        </w:tc>
        <w:tc>
          <w:tcPr>
            <w:tcW w:type="dxa" w:w="2880"/>
            <w:shd w:fill="F5F3FF"/>
          </w:tcPr>
          <w:p>
            <w:pPr>
              <w:spacing w:after="40"/>
            </w:pPr>
            <w:r>
              <w:rPr>
                <w:sz w:val="18"/>
              </w:rPr>
              <w:t>Handloom Development Corporation MP; craft documentation NGOs; Ministry of Textiles craft surveys</w:t>
            </w:r>
          </w:p>
        </w:tc>
        <w:tc>
          <w:tcPr>
            <w:tcW w:type="dxa" w:w="1008"/>
            <w:shd w:fill="F5F3FF"/>
          </w:tcPr>
          <w:p>
            <w:pPr>
              <w:spacing w:after="40"/>
            </w:pPr>
            <w:r>
              <w:rPr>
                <w:sz w:val="18"/>
              </w:rPr>
              <w:t>Various</w:t>
            </w:r>
          </w:p>
        </w:tc>
        <w:tc>
          <w:tcPr>
            <w:tcW w:type="dxa" w:w="1728"/>
            <w:shd w:fill="F5F3FF"/>
          </w:tcPr>
          <w:p>
            <w:pPr>
              <w:spacing w:after="40"/>
            </w:pPr>
            <w:r>
              <w:rPr>
                <w:sz w:val="18"/>
              </w:rPr>
              <w:t>Craft process documentation</w:t>
            </w:r>
          </w:p>
        </w:tc>
        <w:tc>
          <w:tcPr>
            <w:tcW w:type="dxa" w:w="2880"/>
            <w:shd w:fill="F5F3FF"/>
          </w:tcPr>
          <w:p>
            <w:pPr>
              <w:spacing w:after="40"/>
            </w:pPr>
            <w:r>
              <w:rPr>
                <w:sz w:val="18"/>
              </w:rPr>
              <w:t>Weaving process; loom technology; motifs; community practice</w:t>
            </w:r>
          </w:p>
        </w:tc>
        <w:tc>
          <w:tcPr>
            <w:tcW w:type="dxa" w:w="1152"/>
            <w:shd w:fill="F5F3FF"/>
          </w:tcPr>
          <w:p>
            <w:pPr>
              <w:spacing w:after="40"/>
            </w:pPr>
            <w:r>
              <w:rPr>
                <w:sz w:val="18"/>
              </w:rPr>
              <w:t>HIGH</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