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8B1E0F"/>
            <w:tcMar>
              <w:top w:w="200" w:type="dxa"/>
              <w:bottom w:w="200" w:type="dxa"/>
              <w:left w:w="240" w:type="dxa"/>
              <w:right w:w="240" w:type="dxa"/>
            </w:tcMar>
          </w:tcPr>
          <w:p>
            <w:pPr>
              <w:spacing w:after="80"/>
              <w:jc w:val="left"/>
            </w:pPr>
            <w:r>
              <w:rPr>
                <w:rFonts w:ascii="Calibri" w:hAnsi="Calibri"/>
                <w:b/>
                <w:color w:val="C58F27"/>
                <w:sz w:val="19"/>
              </w:rPr>
              <w:t>DOCUMENT 01 • FOUNDATIONAL OVERVIEW</w:t>
              <w:br/>
            </w:r>
            <w:r>
              <w:rPr>
                <w:rFonts w:ascii="Georgia" w:hAnsi="Georgia"/>
                <w:b/>
                <w:color w:val="FFFFFF"/>
                <w:sz w:val="36"/>
              </w:rPr>
              <w:t>Puri Overview: Basic Identity, Etymology, &amp; Significance</w:t>
            </w:r>
          </w:p>
          <w:p>
            <w:pPr>
              <w:spacing w:after="0"/>
            </w:pPr>
            <w:r>
              <w:rPr>
                <w:rFonts w:ascii="Calibri" w:hAnsi="Calibri"/>
                <w:i/>
                <w:color w:val="F0E6DC"/>
                <w:sz w:val="20"/>
              </w:rPr>
              <w:t>Puri Cultural Heritage Research Knowledge Base • Odisha, India</w:t>
            </w:r>
          </w:p>
        </w:tc>
      </w:tr>
    </w:tbl>
    <w:p>
      <w:pPr>
        <w:spacing w:after="200"/>
      </w:pPr>
    </w:p>
    <w:p>
      <w:pPr>
        <w:keepNext/>
        <w:spacing w:before="320" w:after="120"/>
      </w:pPr>
      <w:r>
        <w:rPr>
          <w:rFonts w:ascii="Georgia" w:hAnsi="Georgia"/>
          <w:b/>
          <w:color w:val="8B1E0F"/>
          <w:sz w:val="30"/>
        </w:rPr>
        <w:t>1. Executive Identity &amp; Administrative Profile</w:t>
      </w:r>
    </w:p>
    <w:p>
      <w:pPr>
        <w:spacing w:after="120" w:line="276" w:lineRule="auto"/>
      </w:pPr>
      <w:r>
        <w:rPr>
          <w:rFonts w:ascii="Calibri" w:hAnsi="Calibri"/>
          <w:i w:val="0"/>
          <w:color w:val="212529"/>
          <w:sz w:val="22"/>
        </w:rPr>
        <w:t>Puri (historically known as Purushottama Kshetra, Shrikshetra, Shankha Kshetra, and Nilachala) is a globally revered coastal city and the administrative headquarters of Puri district in the eastern state of Odisha, India. Nestled along the Bay of Bengal, it is one of the four cardinal pilgrimage sites (Char Dham) established by Adi Shankaracharya in Hinduism, centered around the 12th-century monumental Shree Jagannath Temple.</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3120"/>
        <w:gridCol w:w="3120"/>
        <w:gridCol w:w="3120"/>
      </w:tblGrid>
      <w:tr>
        <w:tc>
          <w:tcPr>
            <w:tcW w:type="dxa" w:w="2160"/>
            <w:shd w:fill="8B1E0F"/>
            <w:tcMar>
              <w:top w:w="120" w:type="dxa"/>
              <w:bottom w:w="120" w:type="dxa"/>
              <w:left w:w="140" w:type="dxa"/>
              <w:right w:w="140" w:type="dxa"/>
            </w:tcMar>
          </w:tcPr>
          <w:p>
            <w:pPr>
              <w:jc w:val="left"/>
            </w:pPr>
            <w:r>
              <w:rPr>
                <w:rFonts w:ascii="Calibri" w:hAnsi="Calibri"/>
                <w:b/>
                <w:color w:val="FFFFFF"/>
                <w:sz w:val="20"/>
              </w:rPr>
              <w:t>Attribute</w:t>
            </w:r>
          </w:p>
        </w:tc>
        <w:tc>
          <w:tcPr>
            <w:tcW w:type="dxa" w:w="4608"/>
            <w:shd w:fill="8B1E0F"/>
            <w:tcMar>
              <w:top w:w="120" w:type="dxa"/>
              <w:bottom w:w="120" w:type="dxa"/>
              <w:left w:w="140" w:type="dxa"/>
              <w:right w:w="140" w:type="dxa"/>
            </w:tcMar>
          </w:tcPr>
          <w:p>
            <w:pPr>
              <w:jc w:val="left"/>
            </w:pPr>
            <w:r>
              <w:rPr>
                <w:rFonts w:ascii="Calibri" w:hAnsi="Calibri"/>
                <w:b/>
                <w:color w:val="FFFFFF"/>
                <w:sz w:val="20"/>
              </w:rPr>
              <w:t>Official Data / Details</w:t>
            </w:r>
          </w:p>
        </w:tc>
        <w:tc>
          <w:tcPr>
            <w:tcW w:type="dxa" w:w="2592"/>
            <w:shd w:fill="8B1E0F"/>
            <w:tcMar>
              <w:top w:w="120" w:type="dxa"/>
              <w:bottom w:w="120" w:type="dxa"/>
              <w:left w:w="140" w:type="dxa"/>
              <w:right w:w="140" w:type="dxa"/>
            </w:tcMar>
          </w:tcPr>
          <w:p>
            <w:pPr>
              <w:jc w:val="left"/>
            </w:pPr>
            <w:r>
              <w:rPr>
                <w:rFonts w:ascii="Calibri" w:hAnsi="Calibri"/>
                <w:b/>
                <w:color w:val="FFFFFF"/>
                <w:sz w:val="20"/>
              </w:rPr>
              <w:t>Reference / Authority</w:t>
            </w:r>
          </w:p>
        </w:tc>
      </w:tr>
      <w:tr>
        <w:tc>
          <w:tcPr>
            <w:tcW w:type="dxa" w:w="2160"/>
            <w:shd w:fill="FFFFFF"/>
            <w:tcMar>
              <w:top w:w="100" w:type="dxa"/>
              <w:bottom w:w="100" w:type="dxa"/>
              <w:left w:w="140" w:type="dxa"/>
              <w:right w:w="140" w:type="dxa"/>
            </w:tcMar>
          </w:tcPr>
          <w:p>
            <w:pPr>
              <w:jc w:val="left"/>
            </w:pPr>
            <w:r>
              <w:rPr>
                <w:rFonts w:ascii="Calibri" w:hAnsi="Calibri"/>
                <w:color w:val="212529"/>
                <w:sz w:val="20"/>
              </w:rPr>
              <w:t>Official Name</w:t>
            </w:r>
          </w:p>
        </w:tc>
        <w:tc>
          <w:tcPr>
            <w:tcW w:type="dxa" w:w="4608"/>
            <w:shd w:fill="FFFFFF"/>
            <w:tcMar>
              <w:top w:w="100" w:type="dxa"/>
              <w:bottom w:w="100" w:type="dxa"/>
              <w:left w:w="140" w:type="dxa"/>
              <w:right w:w="140" w:type="dxa"/>
            </w:tcMar>
          </w:tcPr>
          <w:p>
            <w:pPr>
              <w:jc w:val="left"/>
            </w:pPr>
            <w:r>
              <w:rPr>
                <w:rFonts w:ascii="Calibri" w:hAnsi="Calibri"/>
                <w:color w:val="212529"/>
                <w:sz w:val="20"/>
              </w:rPr>
              <w:t>Puri (Odia: ପୁରୀ)</w:t>
            </w:r>
          </w:p>
        </w:tc>
        <w:tc>
          <w:tcPr>
            <w:tcW w:type="dxa" w:w="2592"/>
            <w:shd w:fill="FFFFFF"/>
            <w:tcMar>
              <w:top w:w="100" w:type="dxa"/>
              <w:bottom w:w="100" w:type="dxa"/>
              <w:left w:w="140" w:type="dxa"/>
              <w:right w:w="140" w:type="dxa"/>
            </w:tcMar>
          </w:tcPr>
          <w:p>
            <w:pPr>
              <w:jc w:val="left"/>
            </w:pPr>
            <w:r>
              <w:rPr>
                <w:rFonts w:ascii="Calibri" w:hAnsi="Calibri"/>
                <w:color w:val="212529"/>
                <w:sz w:val="20"/>
              </w:rPr>
              <w:t>Govt. of Odisha Gazette [PUR-S003]</w:t>
            </w:r>
          </w:p>
        </w:tc>
      </w:tr>
      <w:tr>
        <w:tc>
          <w:tcPr>
            <w:tcW w:type="dxa" w:w="2160"/>
            <w:shd w:fill="F9F6F0"/>
            <w:tcMar>
              <w:top w:w="100" w:type="dxa"/>
              <w:bottom w:w="100" w:type="dxa"/>
              <w:left w:w="140" w:type="dxa"/>
              <w:right w:w="140" w:type="dxa"/>
            </w:tcMar>
          </w:tcPr>
          <w:p>
            <w:pPr>
              <w:jc w:val="left"/>
            </w:pPr>
            <w:r>
              <w:rPr>
                <w:rFonts w:ascii="Calibri" w:hAnsi="Calibri"/>
                <w:color w:val="212529"/>
                <w:sz w:val="20"/>
              </w:rPr>
              <w:t>Historical / Sacred Names</w:t>
            </w:r>
          </w:p>
        </w:tc>
        <w:tc>
          <w:tcPr>
            <w:tcW w:type="dxa" w:w="4608"/>
            <w:shd w:fill="F9F6F0"/>
            <w:tcMar>
              <w:top w:w="100" w:type="dxa"/>
              <w:bottom w:w="100" w:type="dxa"/>
              <w:left w:w="140" w:type="dxa"/>
              <w:right w:w="140" w:type="dxa"/>
            </w:tcMar>
          </w:tcPr>
          <w:p>
            <w:pPr>
              <w:jc w:val="left"/>
            </w:pPr>
            <w:r>
              <w:rPr>
                <w:rFonts w:ascii="Calibri" w:hAnsi="Calibri"/>
                <w:color w:val="212529"/>
                <w:sz w:val="20"/>
              </w:rPr>
              <w:t>Purushottama Kshetra, Shrikshetra, Nilachala, Shankha Kshetra, Jagannath Puri</w:t>
            </w:r>
          </w:p>
        </w:tc>
        <w:tc>
          <w:tcPr>
            <w:tcW w:type="dxa" w:w="2592"/>
            <w:shd w:fill="F9F6F0"/>
            <w:tcMar>
              <w:top w:w="100" w:type="dxa"/>
              <w:bottom w:w="100" w:type="dxa"/>
              <w:left w:w="140" w:type="dxa"/>
              <w:right w:w="140" w:type="dxa"/>
            </w:tcMar>
          </w:tcPr>
          <w:p>
            <w:pPr>
              <w:jc w:val="left"/>
            </w:pPr>
            <w:r>
              <w:rPr>
                <w:rFonts w:ascii="Calibri" w:hAnsi="Calibri"/>
                <w:color w:val="212529"/>
                <w:sz w:val="20"/>
              </w:rPr>
              <w:t>Skanda Purana &amp; Epigraphia Indica [PUR-S016]</w:t>
            </w:r>
          </w:p>
        </w:tc>
      </w:tr>
      <w:tr>
        <w:tc>
          <w:tcPr>
            <w:tcW w:type="dxa" w:w="2160"/>
            <w:shd w:fill="FFFFFF"/>
            <w:tcMar>
              <w:top w:w="100" w:type="dxa"/>
              <w:bottom w:w="100" w:type="dxa"/>
              <w:left w:w="140" w:type="dxa"/>
              <w:right w:w="140" w:type="dxa"/>
            </w:tcMar>
          </w:tcPr>
          <w:p>
            <w:pPr>
              <w:jc w:val="left"/>
            </w:pPr>
            <w:r>
              <w:rPr>
                <w:rFonts w:ascii="Calibri" w:hAnsi="Calibri"/>
                <w:color w:val="212529"/>
                <w:sz w:val="20"/>
              </w:rPr>
              <w:t>State &amp; District</w:t>
            </w:r>
          </w:p>
        </w:tc>
        <w:tc>
          <w:tcPr>
            <w:tcW w:type="dxa" w:w="4608"/>
            <w:shd w:fill="FFFFFF"/>
            <w:tcMar>
              <w:top w:w="100" w:type="dxa"/>
              <w:bottom w:w="100" w:type="dxa"/>
              <w:left w:w="140" w:type="dxa"/>
              <w:right w:w="140" w:type="dxa"/>
            </w:tcMar>
          </w:tcPr>
          <w:p>
            <w:pPr>
              <w:jc w:val="left"/>
            </w:pPr>
            <w:r>
              <w:rPr>
                <w:rFonts w:ascii="Calibri" w:hAnsi="Calibri"/>
                <w:color w:val="212529"/>
                <w:sz w:val="20"/>
              </w:rPr>
              <w:t>Odisha (State) | Puri District (Headquarters)</w:t>
            </w:r>
          </w:p>
        </w:tc>
        <w:tc>
          <w:tcPr>
            <w:tcW w:type="dxa" w:w="2592"/>
            <w:shd w:fill="FFFFFF"/>
            <w:tcMar>
              <w:top w:w="100" w:type="dxa"/>
              <w:bottom w:w="100" w:type="dxa"/>
              <w:left w:w="140" w:type="dxa"/>
              <w:right w:w="140" w:type="dxa"/>
            </w:tcMar>
          </w:tcPr>
          <w:p>
            <w:pPr>
              <w:jc w:val="left"/>
            </w:pPr>
            <w:r>
              <w:rPr>
                <w:rFonts w:ascii="Calibri" w:hAnsi="Calibri"/>
                <w:color w:val="212529"/>
                <w:sz w:val="20"/>
              </w:rPr>
              <w:t>District Administration [PUR-S004]</w:t>
            </w:r>
          </w:p>
        </w:tc>
      </w:tr>
      <w:tr>
        <w:tc>
          <w:tcPr>
            <w:tcW w:type="dxa" w:w="2160"/>
            <w:shd w:fill="F9F6F0"/>
            <w:tcMar>
              <w:top w:w="100" w:type="dxa"/>
              <w:bottom w:w="100" w:type="dxa"/>
              <w:left w:w="140" w:type="dxa"/>
              <w:right w:w="140" w:type="dxa"/>
            </w:tcMar>
          </w:tcPr>
          <w:p>
            <w:pPr>
              <w:jc w:val="left"/>
            </w:pPr>
            <w:r>
              <w:rPr>
                <w:rFonts w:ascii="Calibri" w:hAnsi="Calibri"/>
                <w:color w:val="212529"/>
                <w:sz w:val="20"/>
              </w:rPr>
              <w:t>Geographical Coordinates</w:t>
            </w:r>
          </w:p>
        </w:tc>
        <w:tc>
          <w:tcPr>
            <w:tcW w:type="dxa" w:w="4608"/>
            <w:shd w:fill="F9F6F0"/>
            <w:tcMar>
              <w:top w:w="100" w:type="dxa"/>
              <w:bottom w:w="100" w:type="dxa"/>
              <w:left w:w="140" w:type="dxa"/>
              <w:right w:w="140" w:type="dxa"/>
            </w:tcMar>
          </w:tcPr>
          <w:p>
            <w:pPr>
              <w:jc w:val="left"/>
            </w:pPr>
            <w:r>
              <w:rPr>
                <w:rFonts w:ascii="Calibri" w:hAnsi="Calibri"/>
                <w:color w:val="212529"/>
                <w:sz w:val="20"/>
              </w:rPr>
              <w:t>19.8135° N, 85.8312° E</w:t>
            </w:r>
          </w:p>
        </w:tc>
        <w:tc>
          <w:tcPr>
            <w:tcW w:type="dxa" w:w="2592"/>
            <w:shd w:fill="F9F6F0"/>
            <w:tcMar>
              <w:top w:w="100" w:type="dxa"/>
              <w:bottom w:w="100" w:type="dxa"/>
              <w:left w:w="140" w:type="dxa"/>
              <w:right w:w="140" w:type="dxa"/>
            </w:tcMar>
          </w:tcPr>
          <w:p>
            <w:pPr>
              <w:jc w:val="left"/>
            </w:pPr>
            <w:r>
              <w:rPr>
                <w:rFonts w:ascii="Calibri" w:hAnsi="Calibri"/>
                <w:color w:val="212529"/>
                <w:sz w:val="20"/>
              </w:rPr>
              <w:t>Survey of India</w:t>
            </w:r>
          </w:p>
        </w:tc>
      </w:tr>
      <w:tr>
        <w:tc>
          <w:tcPr>
            <w:tcW w:type="dxa" w:w="2160"/>
            <w:shd w:fill="FFFFFF"/>
            <w:tcMar>
              <w:top w:w="100" w:type="dxa"/>
              <w:bottom w:w="100" w:type="dxa"/>
              <w:left w:w="140" w:type="dxa"/>
              <w:right w:w="140" w:type="dxa"/>
            </w:tcMar>
          </w:tcPr>
          <w:p>
            <w:pPr>
              <w:jc w:val="left"/>
            </w:pPr>
            <w:r>
              <w:rPr>
                <w:rFonts w:ascii="Calibri" w:hAnsi="Calibri"/>
                <w:color w:val="212529"/>
                <w:sz w:val="20"/>
              </w:rPr>
              <w:t>Elevation &amp; Area</w:t>
            </w:r>
          </w:p>
        </w:tc>
        <w:tc>
          <w:tcPr>
            <w:tcW w:type="dxa" w:w="4608"/>
            <w:shd w:fill="FFFFFF"/>
            <w:tcMar>
              <w:top w:w="100" w:type="dxa"/>
              <w:bottom w:w="100" w:type="dxa"/>
              <w:left w:w="140" w:type="dxa"/>
              <w:right w:w="140" w:type="dxa"/>
            </w:tcMar>
          </w:tcPr>
          <w:p>
            <w:pPr>
              <w:jc w:val="left"/>
            </w:pPr>
            <w:r>
              <w:rPr>
                <w:rFonts w:ascii="Calibri" w:hAnsi="Calibri"/>
                <w:color w:val="212529"/>
                <w:sz w:val="20"/>
              </w:rPr>
              <w:t>0 to 10 meters above MSL | Municipality Area: ~16.84 km²</w:t>
            </w:r>
          </w:p>
        </w:tc>
        <w:tc>
          <w:tcPr>
            <w:tcW w:type="dxa" w:w="2592"/>
            <w:shd w:fill="FFFFFF"/>
            <w:tcMar>
              <w:top w:w="100" w:type="dxa"/>
              <w:bottom w:w="100" w:type="dxa"/>
              <w:left w:w="140" w:type="dxa"/>
              <w:right w:w="140" w:type="dxa"/>
            </w:tcMar>
          </w:tcPr>
          <w:p>
            <w:pPr>
              <w:jc w:val="left"/>
            </w:pPr>
            <w:r>
              <w:rPr>
                <w:rFonts w:ascii="Calibri" w:hAnsi="Calibri"/>
                <w:color w:val="212529"/>
                <w:sz w:val="20"/>
              </w:rPr>
              <w:t>Puri Municipality &amp; Census 2011</w:t>
            </w:r>
          </w:p>
        </w:tc>
      </w:tr>
      <w:tr>
        <w:tc>
          <w:tcPr>
            <w:tcW w:type="dxa" w:w="2160"/>
            <w:shd w:fill="F9F6F0"/>
            <w:tcMar>
              <w:top w:w="100" w:type="dxa"/>
              <w:bottom w:w="100" w:type="dxa"/>
              <w:left w:w="140" w:type="dxa"/>
              <w:right w:w="140" w:type="dxa"/>
            </w:tcMar>
          </w:tcPr>
          <w:p>
            <w:pPr>
              <w:jc w:val="left"/>
            </w:pPr>
            <w:r>
              <w:rPr>
                <w:rFonts w:ascii="Calibri" w:hAnsi="Calibri"/>
                <w:color w:val="212529"/>
                <w:sz w:val="20"/>
              </w:rPr>
              <w:t>Population (Urban Core)</w:t>
            </w:r>
          </w:p>
        </w:tc>
        <w:tc>
          <w:tcPr>
            <w:tcW w:type="dxa" w:w="4608"/>
            <w:shd w:fill="F9F6F0"/>
            <w:tcMar>
              <w:top w:w="100" w:type="dxa"/>
              <w:bottom w:w="100" w:type="dxa"/>
              <w:left w:w="140" w:type="dxa"/>
              <w:right w:w="140" w:type="dxa"/>
            </w:tcMar>
          </w:tcPr>
          <w:p>
            <w:pPr>
              <w:jc w:val="left"/>
            </w:pPr>
            <w:r>
              <w:rPr>
                <w:rFonts w:ascii="Calibri" w:hAnsi="Calibri"/>
                <w:color w:val="212529"/>
                <w:sz w:val="20"/>
              </w:rPr>
              <w:t>200,564 (2011 Census); Urban Agglomeration est. ~255,000+</w:t>
            </w:r>
          </w:p>
        </w:tc>
        <w:tc>
          <w:tcPr>
            <w:tcW w:type="dxa" w:w="2592"/>
            <w:shd w:fill="F9F6F0"/>
            <w:tcMar>
              <w:top w:w="100" w:type="dxa"/>
              <w:bottom w:w="100" w:type="dxa"/>
              <w:left w:w="140" w:type="dxa"/>
              <w:right w:w="140" w:type="dxa"/>
            </w:tcMar>
          </w:tcPr>
          <w:p>
            <w:pPr>
              <w:jc w:val="left"/>
            </w:pPr>
            <w:r>
              <w:rPr>
                <w:rFonts w:ascii="Calibri" w:hAnsi="Calibri"/>
                <w:color w:val="212529"/>
                <w:sz w:val="20"/>
              </w:rPr>
              <w:t>Office of the Registrar General of India [PUR-S004]</w:t>
            </w:r>
          </w:p>
        </w:tc>
      </w:tr>
      <w:tr>
        <w:tc>
          <w:tcPr>
            <w:tcW w:type="dxa" w:w="2160"/>
            <w:shd w:fill="FFFFFF"/>
            <w:tcMar>
              <w:top w:w="100" w:type="dxa"/>
              <w:bottom w:w="100" w:type="dxa"/>
              <w:left w:w="140" w:type="dxa"/>
              <w:right w:w="140" w:type="dxa"/>
            </w:tcMar>
          </w:tcPr>
          <w:p>
            <w:pPr>
              <w:jc w:val="left"/>
            </w:pPr>
            <w:r>
              <w:rPr>
                <w:rFonts w:ascii="Calibri" w:hAnsi="Calibri"/>
                <w:color w:val="212529"/>
                <w:sz w:val="20"/>
              </w:rPr>
              <w:t>Primary Languages</w:t>
            </w:r>
          </w:p>
        </w:tc>
        <w:tc>
          <w:tcPr>
            <w:tcW w:type="dxa" w:w="4608"/>
            <w:shd w:fill="FFFFFF"/>
            <w:tcMar>
              <w:top w:w="100" w:type="dxa"/>
              <w:bottom w:w="100" w:type="dxa"/>
              <w:left w:w="140" w:type="dxa"/>
              <w:right w:w="140" w:type="dxa"/>
            </w:tcMar>
          </w:tcPr>
          <w:p>
            <w:pPr>
              <w:jc w:val="left"/>
            </w:pPr>
            <w:r>
              <w:rPr>
                <w:rFonts w:ascii="Calibri" w:hAnsi="Calibri"/>
                <w:color w:val="212529"/>
                <w:sz w:val="20"/>
              </w:rPr>
              <w:t>Odia (Official &amp; Primary), Hindi, Bengali, English</w:t>
            </w:r>
          </w:p>
        </w:tc>
        <w:tc>
          <w:tcPr>
            <w:tcW w:type="dxa" w:w="2592"/>
            <w:shd w:fill="FFFFFF"/>
            <w:tcMar>
              <w:top w:w="100" w:type="dxa"/>
              <w:bottom w:w="100" w:type="dxa"/>
              <w:left w:w="140" w:type="dxa"/>
              <w:right w:w="140" w:type="dxa"/>
            </w:tcMar>
          </w:tcPr>
          <w:p>
            <w:pPr>
              <w:jc w:val="left"/>
            </w:pPr>
            <w:r>
              <w:rPr>
                <w:rFonts w:ascii="Calibri" w:hAnsi="Calibri"/>
                <w:color w:val="212529"/>
                <w:sz w:val="20"/>
              </w:rPr>
              <w:t>Linguistic Survey of India [PUR-S012]</w:t>
            </w:r>
          </w:p>
        </w:tc>
      </w:tr>
      <w:tr>
        <w:tc>
          <w:tcPr>
            <w:tcW w:type="dxa" w:w="2160"/>
            <w:shd w:fill="F9F6F0"/>
            <w:tcMar>
              <w:top w:w="100" w:type="dxa"/>
              <w:bottom w:w="100" w:type="dxa"/>
              <w:left w:w="140" w:type="dxa"/>
              <w:right w:w="140" w:type="dxa"/>
            </w:tcMar>
          </w:tcPr>
          <w:p>
            <w:pPr>
              <w:jc w:val="left"/>
            </w:pPr>
            <w:r>
              <w:rPr>
                <w:rFonts w:ascii="Calibri" w:hAnsi="Calibri"/>
                <w:color w:val="212529"/>
                <w:sz w:val="20"/>
              </w:rPr>
              <w:t>Religious Significance</w:t>
            </w:r>
          </w:p>
        </w:tc>
        <w:tc>
          <w:tcPr>
            <w:tcW w:type="dxa" w:w="4608"/>
            <w:shd w:fill="F9F6F0"/>
            <w:tcMar>
              <w:top w:w="100" w:type="dxa"/>
              <w:bottom w:w="100" w:type="dxa"/>
              <w:left w:w="140" w:type="dxa"/>
              <w:right w:w="140" w:type="dxa"/>
            </w:tcMar>
          </w:tcPr>
          <w:p>
            <w:pPr>
              <w:jc w:val="left"/>
            </w:pPr>
            <w:r>
              <w:rPr>
                <w:rFonts w:ascii="Calibri" w:hAnsi="Calibri"/>
                <w:color w:val="212529"/>
                <w:sz w:val="20"/>
              </w:rPr>
              <w:t>Supreme seat of Lord Jagannath; Char Dham pilgrimage</w:t>
            </w:r>
          </w:p>
        </w:tc>
        <w:tc>
          <w:tcPr>
            <w:tcW w:type="dxa" w:w="2592"/>
            <w:shd w:fill="F9F6F0"/>
            <w:tcMar>
              <w:top w:w="100" w:type="dxa"/>
              <w:bottom w:w="100" w:type="dxa"/>
              <w:left w:w="140" w:type="dxa"/>
              <w:right w:w="140" w:type="dxa"/>
            </w:tcMar>
          </w:tcPr>
          <w:p>
            <w:pPr>
              <w:jc w:val="left"/>
            </w:pPr>
            <w:r>
              <w:rPr>
                <w:rFonts w:ascii="Calibri" w:hAnsi="Calibri"/>
                <w:color w:val="212529"/>
                <w:sz w:val="20"/>
              </w:rPr>
              <w:t>SJTA &amp; Shankaracharya Peeth [PUR-S002]</w:t>
            </w:r>
          </w:p>
        </w:tc>
      </w:tr>
      <w:tr>
        <w:tc>
          <w:tcPr>
            <w:tcW w:type="dxa" w:w="2160"/>
            <w:shd w:fill="FFFFFF"/>
            <w:tcMar>
              <w:top w:w="100" w:type="dxa"/>
              <w:bottom w:w="100" w:type="dxa"/>
              <w:left w:w="140" w:type="dxa"/>
              <w:right w:w="140" w:type="dxa"/>
            </w:tcMar>
          </w:tcPr>
          <w:p>
            <w:pPr>
              <w:jc w:val="left"/>
            </w:pPr>
            <w:r>
              <w:rPr>
                <w:rFonts w:ascii="Calibri" w:hAnsi="Calibri"/>
                <w:color w:val="212529"/>
                <w:sz w:val="20"/>
              </w:rPr>
              <w:t>Ecological / Coastal Status</w:t>
            </w:r>
          </w:p>
        </w:tc>
        <w:tc>
          <w:tcPr>
            <w:tcW w:type="dxa" w:w="4608"/>
            <w:shd w:fill="FFFFFF"/>
            <w:tcMar>
              <w:top w:w="100" w:type="dxa"/>
              <w:bottom w:w="100" w:type="dxa"/>
              <w:left w:w="140" w:type="dxa"/>
              <w:right w:w="140" w:type="dxa"/>
            </w:tcMar>
          </w:tcPr>
          <w:p>
            <w:pPr>
              <w:jc w:val="left"/>
            </w:pPr>
            <w:r>
              <w:rPr>
                <w:rFonts w:ascii="Calibri" w:hAnsi="Calibri"/>
                <w:color w:val="212529"/>
                <w:sz w:val="20"/>
              </w:rPr>
              <w:t>Blue Flag Certified Golden Beach; Coastal Regulation Zone (CRZ-I/II)</w:t>
            </w:r>
          </w:p>
        </w:tc>
        <w:tc>
          <w:tcPr>
            <w:tcW w:type="dxa" w:w="2592"/>
            <w:shd w:fill="FFFFFF"/>
            <w:tcMar>
              <w:top w:w="100" w:type="dxa"/>
              <w:bottom w:w="100" w:type="dxa"/>
              <w:left w:w="140" w:type="dxa"/>
              <w:right w:w="140" w:type="dxa"/>
            </w:tcMar>
          </w:tcPr>
          <w:p>
            <w:pPr>
              <w:jc w:val="left"/>
            </w:pPr>
            <w:r>
              <w:rPr>
                <w:rFonts w:ascii="Calibri" w:hAnsi="Calibri"/>
                <w:color w:val="212529"/>
                <w:sz w:val="20"/>
              </w:rPr>
              <w:t>Ministry of Environment &amp; Tourism [PUR-S003]</w:t>
            </w:r>
          </w:p>
        </w:tc>
      </w:tr>
    </w:tbl>
    <w:p>
      <w:pPr>
        <w:spacing w:after="120"/>
      </w:pPr>
    </w:p>
    <w:p>
      <w:pPr>
        <w:keepNext/>
        <w:spacing w:before="320" w:after="120"/>
      </w:pPr>
      <w:r>
        <w:rPr>
          <w:rFonts w:ascii="Georgia" w:hAnsi="Georgia"/>
          <w:b/>
          <w:color w:val="8B1E0F"/>
          <w:sz w:val="30"/>
        </w:rPr>
        <w:t>2. Etymology and Sacred Geographical Connotations</w:t>
      </w:r>
    </w:p>
    <w:p>
      <w:pPr>
        <w:spacing w:after="120" w:line="276" w:lineRule="auto"/>
      </w:pPr>
      <w:r>
        <w:rPr>
          <w:rFonts w:ascii="Calibri" w:hAnsi="Calibri"/>
          <w:i w:val="0"/>
          <w:color w:val="212529"/>
          <w:sz w:val="22"/>
        </w:rPr>
        <w:t>The modern toponym 'Puri' is a shortened linguistic derivation of 'Jagannath Puri' (City of Jagannath) or 'Purushottama Puri'. Historically, classical texts and royal charters did not refer to the settlement simply as Puri; it acquired distinct ontological and geopolitical titles:</w:t>
      </w:r>
    </w:p>
    <w:p>
      <w:pPr>
        <w:pStyle w:val="ListBullet"/>
        <w:spacing w:after="60" w:line="276" w:lineRule="auto"/>
      </w:pPr>
      <w:r>
        <w:rPr>
          <w:rFonts w:ascii="Calibri" w:hAnsi="Calibri"/>
          <w:b/>
          <w:color w:val="2C3E50"/>
          <w:sz w:val="22"/>
        </w:rPr>
        <w:t xml:space="preserve">1. </w:t>
      </w:r>
      <w:r>
        <w:rPr>
          <w:rFonts w:ascii="Calibri" w:hAnsi="Calibri"/>
          <w:color w:val="212529"/>
          <w:sz w:val="22"/>
        </w:rPr>
        <w:t>Purushottama Kshetra: Found in the Mahabharata, Matsya Purana, Brahma Purana, and Skanda Purana, designating the sacred territory of the Supreme Being (Purushottama / Vishnu-Krishna).</w:t>
      </w:r>
    </w:p>
    <w:p>
      <w:pPr>
        <w:pStyle w:val="ListBullet"/>
        <w:spacing w:after="60" w:line="276" w:lineRule="auto"/>
      </w:pPr>
      <w:r>
        <w:rPr>
          <w:rFonts w:ascii="Calibri" w:hAnsi="Calibri"/>
          <w:b/>
          <w:color w:val="2C3E50"/>
          <w:sz w:val="22"/>
        </w:rPr>
        <w:t xml:space="preserve">2. </w:t>
      </w:r>
      <w:r>
        <w:rPr>
          <w:rFonts w:ascii="Calibri" w:hAnsi="Calibri"/>
          <w:color w:val="212529"/>
          <w:sz w:val="22"/>
        </w:rPr>
        <w:t>Shrikshetra: 'The Sacred Abode of Shree' (Goddess Lakshmi), underscoring the co-equal theological presence of Mahalakshmi in the temple complex.</w:t>
      </w:r>
    </w:p>
    <w:p>
      <w:pPr>
        <w:pStyle w:val="ListBullet"/>
        <w:spacing w:after="60" w:line="276" w:lineRule="auto"/>
      </w:pPr>
      <w:r>
        <w:rPr>
          <w:rFonts w:ascii="Calibri" w:hAnsi="Calibri"/>
          <w:b/>
          <w:color w:val="2C3E50"/>
          <w:sz w:val="22"/>
        </w:rPr>
        <w:t xml:space="preserve">3. </w:t>
      </w:r>
      <w:r>
        <w:rPr>
          <w:rFonts w:ascii="Calibri" w:hAnsi="Calibri"/>
          <w:color w:val="212529"/>
          <w:sz w:val="22"/>
        </w:rPr>
        <w:t>Nilachala / Niladri: 'The Blue Mountain', derived from the elevated sandy mound (Nilasaila) upon which the grand sanctum is constructed.</w:t>
      </w:r>
    </w:p>
    <w:p>
      <w:pPr>
        <w:pStyle w:val="ListBullet"/>
        <w:spacing w:after="60" w:line="276" w:lineRule="auto"/>
      </w:pPr>
      <w:r>
        <w:rPr>
          <w:rFonts w:ascii="Calibri" w:hAnsi="Calibri"/>
          <w:b/>
          <w:color w:val="2C3E50"/>
          <w:sz w:val="22"/>
        </w:rPr>
        <w:t xml:space="preserve">4. </w:t>
      </w:r>
      <w:r>
        <w:rPr>
          <w:rFonts w:ascii="Calibri" w:hAnsi="Calibri"/>
          <w:color w:val="212529"/>
          <w:sz w:val="22"/>
        </w:rPr>
        <w:t>Shankha Kshetra: The traditional geo-sacred mapping of Puri in the anatomical shape of a conch shell (Shankha), where vital limbs of the shell house protective Shaivite and Shakta guardian deities (Ashta Sambhus and Ashta Chandi) surrounding the central navel (the Jagannath sanctum).</w:t>
      </w:r>
    </w:p>
    <w:tbl>
      <w:tblPr>
        <w:tblW w:type="auto" w:w="0"/>
        <w:jc w:val="center"/>
        <w:tblLayout w:type="fixed"/>
        <w:tblLook w:firstColumn="1" w:firstRow="1" w:lastColumn="0" w:lastRow="0" w:noHBand="0" w:noVBand="1" w:val="04A0"/>
      </w:tblPr>
      <w:tblGrid>
        <w:gridCol w:w="9360"/>
      </w:tblGrid>
      <w:tr>
        <w:tc>
          <w:tcPr>
            <w:tcW w:type="dxa" w:w="9360"/>
            <w:shd w:fill="F7F3E9"/>
            <w:tcMar>
              <w:top w:w="140" w:type="dxa"/>
              <w:bottom w:w="140" w:type="dxa"/>
              <w:left w:w="180" w:type="dxa"/>
              <w:right w:w="180" w:type="dxa"/>
            </w:tcMar>
            <w:tcBorders>
              <w:top w:val="none"/>
              <w:left w:val="single" w:sz="24" w:space="0" w:color="8B1E0F"/>
              <w:bottom w:val="none"/>
              <w:right w:val="none"/>
            </w:tcBorders>
          </w:tcPr>
          <w:p>
            <w:pPr>
              <w:spacing w:after="60"/>
            </w:pPr>
            <w:r>
              <w:rPr>
                <w:rFonts w:ascii="Calibri" w:hAnsi="Calibri"/>
                <w:b/>
                <w:color w:val="8B1E0F"/>
                <w:sz w:val="19"/>
              </w:rPr>
              <w:t xml:space="preserve">[SCHOLARLY DISTINCTION]  </w:t>
            </w:r>
            <w:r>
              <w:rPr>
                <w:rFonts w:ascii="Calibri" w:hAnsi="Calibri"/>
                <w:b/>
                <w:color w:val="B87333"/>
                <w:sz w:val="18"/>
              </w:rPr>
              <w:t xml:space="preserve">[CONFIDENCE: HIGH]  </w:t>
            </w:r>
            <w:r>
              <w:rPr>
                <w:rFonts w:ascii="Georgia" w:hAnsi="Georgia"/>
                <w:b/>
                <w:color w:val="2C3E50"/>
                <w:sz w:val="22"/>
              </w:rPr>
              <w:t>Distinction Between Puri City, Puri District, and Odisha</w:t>
              <w:br/>
            </w:r>
          </w:p>
          <w:p>
            <w:pPr>
              <w:spacing w:after="0" w:line="276" w:lineRule="auto"/>
            </w:pPr>
            <w:r>
              <w:rPr>
                <w:rFonts w:ascii="Calibri" w:hAnsi="Calibri"/>
                <w:color w:val="212529"/>
                <w:sz w:val="21"/>
              </w:rPr>
              <w:t>It is a critical ethnographic and historical principle that Puri City represents a unique consecrated urban ecosystem (Kshetra), whereas Puri District encompasses rural agricultural belts, maritime lagoons (Chilika), and craft corridors (Raghurajpur, Pipili). Regional traditions of western or northern Odisha must not be conflated with the localized, hereditary sevayat traditions of Puri.</w:t>
            </w:r>
          </w:p>
        </w:tc>
      </w:tr>
    </w:tbl>
    <w:p>
      <w:pPr>
        <w:spacing w:after="80"/>
      </w:pPr>
    </w:p>
    <w:p>
      <w:pPr>
        <w:keepNext/>
        <w:spacing w:before="320" w:after="120"/>
      </w:pPr>
      <w:r>
        <w:rPr>
          <w:rFonts w:ascii="Georgia" w:hAnsi="Georgia"/>
          <w:b/>
          <w:color w:val="8B1E0F"/>
          <w:sz w:val="30"/>
        </w:rPr>
        <w:t>3. Multi-Tier Standard Introductions</w:t>
      </w:r>
    </w:p>
    <w:p>
      <w:pPr>
        <w:keepNext/>
        <w:spacing w:before="240" w:after="80"/>
      </w:pPr>
      <w:r>
        <w:rPr>
          <w:rFonts w:ascii="Georgia" w:hAnsi="Georgia"/>
          <w:b/>
          <w:color w:val="B87333"/>
          <w:sz w:val="26"/>
        </w:rPr>
        <w:t>One-Line Description</w:t>
      </w:r>
    </w:p>
    <w:p>
      <w:pPr>
        <w:spacing w:after="120" w:line="276" w:lineRule="auto"/>
      </w:pPr>
      <w:r>
        <w:rPr>
          <w:rFonts w:ascii="Calibri" w:hAnsi="Calibri"/>
          <w:i w:val="0"/>
          <w:color w:val="212529"/>
          <w:sz w:val="22"/>
        </w:rPr>
        <w:t>Puri is Odisha's sacred coastal Char Dham city, globally renowned for the 12th-century Jagannath Temple, the world's largest chariot festival (Rath Yatra), and an ancient syncretic heritage integrating Vedic, tribal, Shakta, and Vaishnava cultures.</w:t>
      </w:r>
    </w:p>
    <w:p>
      <w:pPr>
        <w:keepNext/>
        <w:spacing w:before="240" w:after="80"/>
      </w:pPr>
      <w:r>
        <w:rPr>
          <w:rFonts w:ascii="Georgia" w:hAnsi="Georgia"/>
          <w:b/>
          <w:color w:val="B87333"/>
          <w:sz w:val="26"/>
        </w:rPr>
        <w:t>100-Word Summary</w:t>
      </w:r>
    </w:p>
    <w:p>
      <w:pPr>
        <w:spacing w:after="120" w:line="276" w:lineRule="auto"/>
      </w:pPr>
      <w:r>
        <w:rPr>
          <w:rFonts w:ascii="Calibri" w:hAnsi="Calibri"/>
          <w:i w:val="0"/>
          <w:color w:val="212529"/>
          <w:sz w:val="22"/>
        </w:rPr>
        <w:t>Puri, situated along the Bay of Bengal in eastern Odisha, is one of Hinduism's most sacred Char Dham pilgrimage centers. Revered as Purushottama Kshetra and Shankha Kshetra, the city centers upon the monumental 12th-century Shree Jagannath Temple. Known worldwide for the annual Rath Yatra (Chariot Festival), the sacred Mahaprasad culinary tradition, and the Govardhan Math established by Adi Shankaracharya, Puri represents an extraordinary living continuum of spiritual traditions, classical Odissi arts, heritage craft settlements like Raghurajpur, and pristine coastal landscapes.</w:t>
      </w:r>
    </w:p>
    <w:p>
      <w:pPr>
        <w:keepNext/>
        <w:spacing w:before="240" w:after="80"/>
      </w:pPr>
      <w:r>
        <w:rPr>
          <w:rFonts w:ascii="Georgia" w:hAnsi="Georgia"/>
          <w:b/>
          <w:color w:val="B87333"/>
          <w:sz w:val="26"/>
        </w:rPr>
        <w:t>500-Word Master Synthesis</w:t>
      </w:r>
    </w:p>
    <w:p>
      <w:pPr>
        <w:spacing w:after="120" w:line="276" w:lineRule="auto"/>
      </w:pPr>
      <w:r>
        <w:rPr>
          <w:rFonts w:ascii="Calibri" w:hAnsi="Calibri"/>
          <w:i w:val="0"/>
          <w:color w:val="212529"/>
          <w:sz w:val="22"/>
        </w:rPr>
        <w:t>Puri stands as the cultural, spiritual, and artistic heartbeat of Odisha. Emerging into historical prominence under the Eastern Ganga dynasty in the 12th century, the city was conceived not merely as an administrative enclave, but as a consecrated cosmic geography—the Shankha Kshetra. At its spiritual vortex is the Shree Jagannath Temple, an architectural triumph of the Kalinga style rising 65 meters, housing Lord Jagannath, Lord Balabhadra, Devi Subhadra, and Sudarshana Chakra.</w:t>
        <w:br/>
        <w:br/>
        <w:t>What renders Puri unique in the history of world religions is the syncretic nature of its deity. Lord Jagannath is neither exclusively Vedic nor sectarian; his wooden icon (Daru Brahma), large unblinking eyes, and distinctive iconography reflect an archaic fusion of indigenous tribal (Sabara) cosmology, Tantric Shakta practices, Shaivism, and profound Gaudiya and Ramanandi Vaishnavism. The temple's hereditary servitors (sevayats)—numbering 36 principal functional divisions (Chhatisa Nijoga)—include both Vedic Brahmins and the non-Brahmin Daitapatis of tribal lineage who attend intimately to the deities during periods of illness (Anavasara) and divine renewal (Nabakalebara).</w:t>
        <w:br/>
        <w:br/>
        <w:t>Beyond the sacred precincts of the Bada Danda (Grand Road), Puri is the epicenter of Eastern India's classical performing arts and handicrafts. It gave birth to the Mahari and Gotipua traditions—the direct progenitors of classical Odissi dance, revived in the 20th century by legends like Guru Kelucharan Mohapatra. Nearby heritage villages like Raghurajpur preserve Pattachitra cloth scroll painting and Tala Pattachitra (palm-leaf engraving), recognized with Geographical Indication (GI) status.</w:t>
        <w:br/>
        <w:br/>
        <w:t>As a modern tourism destination, Puri integrates sacred pilgrimage with coastal leisure, featuring the Blue Flag-certified Golden Beach, historic mathas (monastic orders) representing India's leading philosophical lineages, and the proximity to Chilika Lake. It remains a living cultural landscape where ancient ritual protocols continue unbroken in the 21st century.</w:t>
      </w:r>
    </w:p>
    <w:p>
      <w:pPr>
        <w:keepNext/>
        <w:spacing w:before="320" w:after="120"/>
      </w:pPr>
      <w:r>
        <w:rPr>
          <w:rFonts w:ascii="Georgia" w:hAnsi="Georgia"/>
          <w:b/>
          <w:color w:val="8B1E0F"/>
          <w:sz w:val="30"/>
        </w:rPr>
        <w:t>Document References &amp; Sources</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1872"/>
        <w:gridCol w:w="1872"/>
        <w:gridCol w:w="1872"/>
        <w:gridCol w:w="1872"/>
        <w:gridCol w:w="1872"/>
      </w:tblGrid>
      <w:tr>
        <w:tc>
          <w:tcPr>
            <w:tcW w:type="dxa" w:w="1296"/>
            <w:shd w:fill="8B1E0F"/>
            <w:tcMar>
              <w:top w:w="120" w:type="dxa"/>
              <w:bottom w:w="120" w:type="dxa"/>
              <w:left w:w="140" w:type="dxa"/>
              <w:right w:w="140" w:type="dxa"/>
            </w:tcMar>
          </w:tcPr>
          <w:p>
            <w:pPr>
              <w:jc w:val="left"/>
            </w:pPr>
            <w:r>
              <w:rPr>
                <w:rFonts w:ascii="Calibri" w:hAnsi="Calibri"/>
                <w:b/>
                <w:color w:val="FFFFFF"/>
                <w:sz w:val="20"/>
              </w:rPr>
              <w:t>Source ID</w:t>
            </w:r>
          </w:p>
        </w:tc>
        <w:tc>
          <w:tcPr>
            <w:tcW w:type="dxa" w:w="2016"/>
            <w:shd w:fill="8B1E0F"/>
            <w:tcMar>
              <w:top w:w="120" w:type="dxa"/>
              <w:bottom w:w="120" w:type="dxa"/>
              <w:left w:w="140" w:type="dxa"/>
              <w:right w:w="140" w:type="dxa"/>
            </w:tcMar>
          </w:tcPr>
          <w:p>
            <w:pPr>
              <w:jc w:val="left"/>
            </w:pPr>
            <w:r>
              <w:rPr>
                <w:rFonts w:ascii="Calibri" w:hAnsi="Calibri"/>
                <w:b/>
                <w:color w:val="FFFFFF"/>
                <w:sz w:val="20"/>
              </w:rPr>
              <w:t>Author / Institution</w:t>
            </w:r>
          </w:p>
        </w:tc>
        <w:tc>
          <w:tcPr>
            <w:tcW w:type="dxa" w:w="3024"/>
            <w:shd w:fill="8B1E0F"/>
            <w:tcMar>
              <w:top w:w="120" w:type="dxa"/>
              <w:bottom w:w="120" w:type="dxa"/>
              <w:left w:w="140" w:type="dxa"/>
              <w:right w:w="140" w:type="dxa"/>
            </w:tcMar>
          </w:tcPr>
          <w:p>
            <w:pPr>
              <w:jc w:val="left"/>
            </w:pPr>
            <w:r>
              <w:rPr>
                <w:rFonts w:ascii="Calibri" w:hAnsi="Calibri"/>
                <w:b/>
                <w:color w:val="FFFFFF"/>
                <w:sz w:val="20"/>
              </w:rPr>
              <w:t>Title &amp; Publication</w:t>
            </w:r>
          </w:p>
        </w:tc>
        <w:tc>
          <w:tcPr>
            <w:tcW w:type="dxa" w:w="1584"/>
            <w:shd w:fill="8B1E0F"/>
            <w:tcMar>
              <w:top w:w="120" w:type="dxa"/>
              <w:bottom w:w="120" w:type="dxa"/>
              <w:left w:w="140" w:type="dxa"/>
              <w:right w:w="140" w:type="dxa"/>
            </w:tcMar>
          </w:tcPr>
          <w:p>
            <w:pPr>
              <w:jc w:val="left"/>
            </w:pPr>
            <w:r>
              <w:rPr>
                <w:rFonts w:ascii="Calibri" w:hAnsi="Calibri"/>
                <w:b/>
                <w:color w:val="FFFFFF"/>
                <w:sz w:val="20"/>
              </w:rPr>
              <w:t>Type &amp; Tier</w:t>
            </w:r>
          </w:p>
        </w:tc>
        <w:tc>
          <w:tcPr>
            <w:tcW w:type="dxa" w:w="1440"/>
            <w:shd w:fill="8B1E0F"/>
            <w:tcMar>
              <w:top w:w="120" w:type="dxa"/>
              <w:bottom w:w="120" w:type="dxa"/>
              <w:left w:w="140" w:type="dxa"/>
              <w:right w:w="140" w:type="dxa"/>
            </w:tcMar>
          </w:tcPr>
          <w:p>
            <w:pPr>
              <w:jc w:val="left"/>
            </w:pPr>
            <w:r>
              <w:rPr>
                <w:rFonts w:ascii="Calibri" w:hAnsi="Calibri"/>
                <w:b/>
                <w:color w:val="FFFFFF"/>
                <w:sz w:val="20"/>
              </w:rPr>
              <w:t>URL / Accession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PUR-S002</w:t>
            </w:r>
          </w:p>
        </w:tc>
        <w:tc>
          <w:tcPr>
            <w:tcW w:type="dxa" w:w="2016"/>
            <w:shd w:fill="FFFFFF"/>
            <w:tcMar>
              <w:top w:w="100" w:type="dxa"/>
              <w:bottom w:w="100" w:type="dxa"/>
              <w:left w:w="140" w:type="dxa"/>
              <w:right w:w="140" w:type="dxa"/>
            </w:tcMar>
          </w:tcPr>
          <w:p>
            <w:pPr>
              <w:jc w:val="left"/>
            </w:pPr>
            <w:r>
              <w:rPr>
                <w:rFonts w:ascii="Calibri" w:hAnsi="Calibri"/>
                <w:color w:val="212529"/>
                <w:sz w:val="20"/>
              </w:rPr>
              <w:t>Shree Jagannath Temple Administration (SJTA)</w:t>
            </w:r>
          </w:p>
        </w:tc>
        <w:tc>
          <w:tcPr>
            <w:tcW w:type="dxa" w:w="3024"/>
            <w:shd w:fill="FFFFFF"/>
            <w:tcMar>
              <w:top w:w="100" w:type="dxa"/>
              <w:bottom w:w="100" w:type="dxa"/>
              <w:left w:w="140" w:type="dxa"/>
              <w:right w:w="140" w:type="dxa"/>
            </w:tcMar>
          </w:tcPr>
          <w:p>
            <w:pPr>
              <w:jc w:val="left"/>
            </w:pPr>
            <w:r>
              <w:rPr>
                <w:rFonts w:ascii="Calibri" w:hAnsi="Calibri"/>
                <w:color w:val="212529"/>
                <w:sz w:val="20"/>
              </w:rPr>
              <w:t>Record of Rights (RoR) &amp; Sevayat Nijoga Niti Guidelines of Shri Jagannath Temple</w:t>
            </w:r>
          </w:p>
        </w:tc>
        <w:tc>
          <w:tcPr>
            <w:tcW w:type="dxa" w:w="1584"/>
            <w:shd w:fill="FFFFFF"/>
            <w:tcMar>
              <w:top w:w="100" w:type="dxa"/>
              <w:bottom w:w="100" w:type="dxa"/>
              <w:left w:w="140" w:type="dxa"/>
              <w:right w:w="140" w:type="dxa"/>
            </w:tcMar>
          </w:tcPr>
          <w:p>
            <w:pPr>
              <w:jc w:val="left"/>
            </w:pPr>
            <w:r>
              <w:rPr>
                <w:rFonts w:ascii="Calibri" w:hAnsi="Calibri"/>
                <w:color w:val="212529"/>
                <w:sz w:val="20"/>
              </w:rPr>
              <w:t>Statutory Temple Record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https://shreejagannatha.in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PUR-S003</w:t>
            </w:r>
          </w:p>
        </w:tc>
        <w:tc>
          <w:tcPr>
            <w:tcW w:type="dxa" w:w="2016"/>
            <w:shd w:fill="F9F6F0"/>
            <w:tcMar>
              <w:top w:w="100" w:type="dxa"/>
              <w:bottom w:w="100" w:type="dxa"/>
              <w:left w:w="140" w:type="dxa"/>
              <w:right w:w="140" w:type="dxa"/>
            </w:tcMar>
          </w:tcPr>
          <w:p>
            <w:pPr>
              <w:jc w:val="left"/>
            </w:pPr>
            <w:r>
              <w:rPr>
                <w:rFonts w:ascii="Calibri" w:hAnsi="Calibri"/>
                <w:color w:val="212529"/>
                <w:sz w:val="20"/>
              </w:rPr>
              <w:t>Government of Odisha</w:t>
            </w:r>
          </w:p>
        </w:tc>
        <w:tc>
          <w:tcPr>
            <w:tcW w:type="dxa" w:w="3024"/>
            <w:shd w:fill="F9F6F0"/>
            <w:tcMar>
              <w:top w:w="100" w:type="dxa"/>
              <w:bottom w:w="100" w:type="dxa"/>
              <w:left w:w="140" w:type="dxa"/>
              <w:right w:w="140" w:type="dxa"/>
            </w:tcMar>
          </w:tcPr>
          <w:p>
            <w:pPr>
              <w:jc w:val="left"/>
            </w:pPr>
            <w:r>
              <w:rPr>
                <w:rFonts w:ascii="Calibri" w:hAnsi="Calibri"/>
                <w:color w:val="212529"/>
                <w:sz w:val="20"/>
              </w:rPr>
              <w:t>Odisha Cultural Heritage Gazetteer: Puri District Volume &amp; Pilgrimage Circuit</w:t>
            </w:r>
          </w:p>
        </w:tc>
        <w:tc>
          <w:tcPr>
            <w:tcW w:type="dxa" w:w="1584"/>
            <w:shd w:fill="F9F6F0"/>
            <w:tcMar>
              <w:top w:w="100" w:type="dxa"/>
              <w:bottom w:w="100" w:type="dxa"/>
              <w:left w:w="140" w:type="dxa"/>
              <w:right w:w="140" w:type="dxa"/>
            </w:tcMar>
          </w:tcPr>
          <w:p>
            <w:pPr>
              <w:jc w:val="left"/>
            </w:pPr>
            <w:r>
              <w:rPr>
                <w:rFonts w:ascii="Calibri" w:hAnsi="Calibri"/>
                <w:color w:val="212529"/>
                <w:sz w:val="20"/>
              </w:rPr>
              <w:t>Government Gazetteer (Tier 1)</w:t>
            </w:r>
          </w:p>
        </w:tc>
        <w:tc>
          <w:tcPr>
            <w:tcW w:type="dxa" w:w="1440"/>
            <w:shd w:fill="F9F6F0"/>
            <w:tcMar>
              <w:top w:w="100" w:type="dxa"/>
              <w:bottom w:w="100" w:type="dxa"/>
              <w:left w:w="140" w:type="dxa"/>
              <w:right w:w="140" w:type="dxa"/>
            </w:tcMar>
          </w:tcPr>
          <w:p>
            <w:pPr>
              <w:jc w:val="left"/>
            </w:pPr>
            <w:r>
              <w:rPr>
                <w:rFonts w:ascii="Calibri" w:hAnsi="Calibri"/>
                <w:color w:val="212529"/>
                <w:sz w:val="20"/>
              </w:rPr>
              <w:t>https://odishatourism.gov.in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PUR-S004</w:t>
            </w:r>
          </w:p>
        </w:tc>
        <w:tc>
          <w:tcPr>
            <w:tcW w:type="dxa" w:w="2016"/>
            <w:shd w:fill="FFFFFF"/>
            <w:tcMar>
              <w:top w:w="100" w:type="dxa"/>
              <w:bottom w:w="100" w:type="dxa"/>
              <w:left w:w="140" w:type="dxa"/>
              <w:right w:w="140" w:type="dxa"/>
            </w:tcMar>
          </w:tcPr>
          <w:p>
            <w:pPr>
              <w:jc w:val="left"/>
            </w:pPr>
            <w:r>
              <w:rPr>
                <w:rFonts w:ascii="Calibri" w:hAnsi="Calibri"/>
                <w:color w:val="212529"/>
                <w:sz w:val="20"/>
              </w:rPr>
              <w:t>District Administration Puri</w:t>
            </w:r>
          </w:p>
        </w:tc>
        <w:tc>
          <w:tcPr>
            <w:tcW w:type="dxa" w:w="3024"/>
            <w:shd w:fill="FFFFFF"/>
            <w:tcMar>
              <w:top w:w="100" w:type="dxa"/>
              <w:bottom w:w="100" w:type="dxa"/>
              <w:left w:w="140" w:type="dxa"/>
              <w:right w:w="140" w:type="dxa"/>
            </w:tcMar>
          </w:tcPr>
          <w:p>
            <w:pPr>
              <w:jc w:val="left"/>
            </w:pPr>
            <w:r>
              <w:rPr>
                <w:rFonts w:ascii="Calibri" w:hAnsi="Calibri"/>
                <w:color w:val="212529"/>
                <w:sz w:val="20"/>
              </w:rPr>
              <w:t>District Statistical Handbook: Puri Demography, Geography &amp; Coastal Ecology</w:t>
            </w:r>
          </w:p>
        </w:tc>
        <w:tc>
          <w:tcPr>
            <w:tcW w:type="dxa" w:w="1584"/>
            <w:shd w:fill="FFFFFF"/>
            <w:tcMar>
              <w:top w:w="100" w:type="dxa"/>
              <w:bottom w:w="100" w:type="dxa"/>
              <w:left w:w="140" w:type="dxa"/>
              <w:right w:w="140" w:type="dxa"/>
            </w:tcMar>
          </w:tcPr>
          <w:p>
            <w:pPr>
              <w:jc w:val="left"/>
            </w:pPr>
            <w:r>
              <w:rPr>
                <w:rFonts w:ascii="Calibri" w:hAnsi="Calibri"/>
                <w:color w:val="212529"/>
                <w:sz w:val="20"/>
              </w:rPr>
              <w:t>Government Handbook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https://puri.nic.in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PUR-S008</w:t>
            </w:r>
          </w:p>
        </w:tc>
        <w:tc>
          <w:tcPr>
            <w:tcW w:type="dxa" w:w="2016"/>
            <w:shd w:fill="F9F6F0"/>
            <w:tcMar>
              <w:top w:w="100" w:type="dxa"/>
              <w:bottom w:w="100" w:type="dxa"/>
              <w:left w:w="140" w:type="dxa"/>
              <w:right w:w="140" w:type="dxa"/>
            </w:tcMar>
          </w:tcPr>
          <w:p>
            <w:pPr>
              <w:jc w:val="left"/>
            </w:pPr>
            <w:r>
              <w:rPr>
                <w:rFonts w:ascii="Calibri" w:hAnsi="Calibri"/>
                <w:color w:val="212529"/>
                <w:sz w:val="20"/>
              </w:rPr>
              <w:t>Oxford University Press / Heidelberg University</w:t>
            </w:r>
          </w:p>
        </w:tc>
        <w:tc>
          <w:tcPr>
            <w:tcW w:type="dxa" w:w="3024"/>
            <w:shd w:fill="F9F6F0"/>
            <w:tcMar>
              <w:top w:w="100" w:type="dxa"/>
              <w:bottom w:w="100" w:type="dxa"/>
              <w:left w:w="140" w:type="dxa"/>
              <w:right w:w="140" w:type="dxa"/>
            </w:tcMar>
          </w:tcPr>
          <w:p>
            <w:pPr>
              <w:jc w:val="left"/>
            </w:pPr>
            <w:r>
              <w:rPr>
                <w:rFonts w:ascii="Calibri" w:hAnsi="Calibri"/>
                <w:color w:val="212529"/>
                <w:sz w:val="20"/>
              </w:rPr>
              <w:t>The Cult of Jagannath and the Regional Tradition of Orissa (Orissa Research Project)</w:t>
            </w:r>
          </w:p>
        </w:tc>
        <w:tc>
          <w:tcPr>
            <w:tcW w:type="dxa" w:w="1584"/>
            <w:shd w:fill="F9F6F0"/>
            <w:tcMar>
              <w:top w:w="100" w:type="dxa"/>
              <w:bottom w:w="100" w:type="dxa"/>
              <w:left w:w="140" w:type="dxa"/>
              <w:right w:w="140" w:type="dxa"/>
            </w:tcMar>
          </w:tcPr>
          <w:p>
            <w:pPr>
              <w:jc w:val="left"/>
            </w:pPr>
            <w:r>
              <w:rPr>
                <w:rFonts w:ascii="Calibri" w:hAnsi="Calibri"/>
                <w:color w:val="212529"/>
                <w:sz w:val="20"/>
              </w:rPr>
              <w:t>Academic Monograph (Tier 2)</w:t>
            </w:r>
          </w:p>
        </w:tc>
        <w:tc>
          <w:tcPr>
            <w:tcW w:type="dxa" w:w="1440"/>
            <w:shd w:fill="F9F6F0"/>
            <w:tcMar>
              <w:top w:w="100" w:type="dxa"/>
              <w:bottom w:w="100" w:type="dxa"/>
              <w:left w:w="140" w:type="dxa"/>
              <w:right w:w="140" w:type="dxa"/>
            </w:tcMar>
          </w:tcPr>
          <w:p>
            <w:pPr>
              <w:jc w:val="left"/>
            </w:pPr>
            <w:r>
              <w:rPr>
                <w:rFonts w:ascii="Calibri" w:hAnsi="Calibri"/>
                <w:color w:val="212529"/>
                <w:sz w:val="20"/>
              </w:rPr>
              <w:t>https://doi.org/10.1093/oso/9780195610819.001.0001</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PUR-S016</w:t>
            </w:r>
          </w:p>
        </w:tc>
        <w:tc>
          <w:tcPr>
            <w:tcW w:type="dxa" w:w="2016"/>
            <w:shd w:fill="FFFFFF"/>
            <w:tcMar>
              <w:top w:w="100" w:type="dxa"/>
              <w:bottom w:w="100" w:type="dxa"/>
              <w:left w:w="140" w:type="dxa"/>
              <w:right w:w="140" w:type="dxa"/>
            </w:tcMar>
          </w:tcPr>
          <w:p>
            <w:pPr>
              <w:jc w:val="left"/>
            </w:pPr>
            <w:r>
              <w:rPr>
                <w:rFonts w:ascii="Calibri" w:hAnsi="Calibri"/>
                <w:color w:val="212529"/>
                <w:sz w:val="20"/>
              </w:rPr>
              <w:t>Epigraphia Indica</w:t>
            </w:r>
          </w:p>
        </w:tc>
        <w:tc>
          <w:tcPr>
            <w:tcW w:type="dxa" w:w="3024"/>
            <w:shd w:fill="FFFFFF"/>
            <w:tcMar>
              <w:top w:w="100" w:type="dxa"/>
              <w:bottom w:w="100" w:type="dxa"/>
              <w:left w:w="140" w:type="dxa"/>
              <w:right w:w="140" w:type="dxa"/>
            </w:tcMar>
          </w:tcPr>
          <w:p>
            <w:pPr>
              <w:jc w:val="left"/>
            </w:pPr>
            <w:r>
              <w:rPr>
                <w:rFonts w:ascii="Calibri" w:hAnsi="Calibri"/>
                <w:color w:val="212529"/>
                <w:sz w:val="20"/>
              </w:rPr>
              <w:t>Inscriptions of the Eastern Gangas: Chodaganga Deva &amp; Anangabhima Deva Copper Plates</w:t>
            </w:r>
          </w:p>
        </w:tc>
        <w:tc>
          <w:tcPr>
            <w:tcW w:type="dxa" w:w="1584"/>
            <w:shd w:fill="FFFFFF"/>
            <w:tcMar>
              <w:top w:w="100" w:type="dxa"/>
              <w:bottom w:w="100" w:type="dxa"/>
              <w:left w:w="140" w:type="dxa"/>
              <w:right w:w="140" w:type="dxa"/>
            </w:tcMar>
          </w:tcPr>
          <w:p>
            <w:pPr>
              <w:jc w:val="left"/>
            </w:pPr>
            <w:r>
              <w:rPr>
                <w:rFonts w:ascii="Calibri" w:hAnsi="Calibri"/>
                <w:color w:val="212529"/>
                <w:sz w:val="20"/>
              </w:rPr>
              <w:t>Epigraphic Corpus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https://asi.nic.in/epigraphia-indica</w:t>
            </w:r>
          </w:p>
        </w:tc>
      </w:tr>
    </w:tbl>
    <w:p>
      <w:pPr>
        <w:spacing w:after="12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PURI CULTURAL KNOWLEDGE BASE | FOUNDATIONAL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