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02 • GEOGRAPHY &amp; ENVIRONMENT</w:t>
              <w:br/>
            </w:r>
            <w:r>
              <w:rPr>
                <w:rFonts w:ascii="Georgia" w:hAnsi="Georgia"/>
                <w:b/>
                <w:color w:val="FFFFFF"/>
                <w:sz w:val="36"/>
              </w:rPr>
              <w:t>Geography, Coastal Ecology, &amp; Environmental Heritage of Puri</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Regional Geography &amp; Coastal Morphology</w:t>
      </w:r>
    </w:p>
    <w:p>
      <w:pPr>
        <w:spacing w:after="120" w:line="276" w:lineRule="auto"/>
      </w:pPr>
      <w:r>
        <w:rPr>
          <w:rFonts w:ascii="Calibri" w:hAnsi="Calibri"/>
          <w:i w:val="0"/>
          <w:color w:val="212529"/>
          <w:sz w:val="22"/>
        </w:rPr>
        <w:t>Puri district occupies a total geographic expanse of 3,479 km² in the coastal plains of eastern Odisha. It is bounded by the Bay of Bengal along a dynamic coastline extending over 150 km, bordered by Khordha district to the north, Jagatsinghpur to the northeast, and Ganjam to the southwest across the Chilika lagoon.</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160"/>
            <w:shd w:fill="8B1E0F"/>
            <w:tcMar>
              <w:top w:w="120" w:type="dxa"/>
              <w:bottom w:w="120" w:type="dxa"/>
              <w:left w:w="140" w:type="dxa"/>
              <w:right w:w="140" w:type="dxa"/>
            </w:tcMar>
          </w:tcPr>
          <w:p>
            <w:pPr>
              <w:jc w:val="left"/>
            </w:pPr>
            <w:r>
              <w:rPr>
                <w:rFonts w:ascii="Calibri" w:hAnsi="Calibri"/>
                <w:b/>
                <w:color w:val="FFFFFF"/>
                <w:sz w:val="20"/>
              </w:rPr>
              <w:t>Geographical Feature</w:t>
            </w:r>
          </w:p>
        </w:tc>
        <w:tc>
          <w:tcPr>
            <w:tcW w:type="dxa" w:w="3168"/>
            <w:shd w:fill="8B1E0F"/>
            <w:tcMar>
              <w:top w:w="120" w:type="dxa"/>
              <w:bottom w:w="120" w:type="dxa"/>
              <w:left w:w="140" w:type="dxa"/>
              <w:right w:w="140" w:type="dxa"/>
            </w:tcMar>
          </w:tcPr>
          <w:p>
            <w:pPr>
              <w:jc w:val="left"/>
            </w:pPr>
            <w:r>
              <w:rPr>
                <w:rFonts w:ascii="Calibri" w:hAnsi="Calibri"/>
                <w:b/>
                <w:color w:val="FFFFFF"/>
                <w:sz w:val="20"/>
              </w:rPr>
              <w:t>Physical Dimensions / Extent</w:t>
            </w:r>
          </w:p>
        </w:tc>
        <w:tc>
          <w:tcPr>
            <w:tcW w:type="dxa" w:w="4032"/>
            <w:shd w:fill="8B1E0F"/>
            <w:tcMar>
              <w:top w:w="120" w:type="dxa"/>
              <w:bottom w:w="120" w:type="dxa"/>
              <w:left w:w="140" w:type="dxa"/>
              <w:right w:w="140" w:type="dxa"/>
            </w:tcMar>
          </w:tcPr>
          <w:p>
            <w:pPr>
              <w:jc w:val="left"/>
            </w:pPr>
            <w:r>
              <w:rPr>
                <w:rFonts w:ascii="Calibri" w:hAnsi="Calibri"/>
                <w:b/>
                <w:color w:val="FFFFFF"/>
                <w:sz w:val="20"/>
              </w:rPr>
              <w:t>Ecological &amp; Cultural Interconnection</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Bay of Bengal Coastline</w:t>
            </w:r>
          </w:p>
        </w:tc>
        <w:tc>
          <w:tcPr>
            <w:tcW w:type="dxa" w:w="3168"/>
            <w:shd w:fill="FFFFFF"/>
            <w:tcMar>
              <w:top w:w="100" w:type="dxa"/>
              <w:bottom w:w="100" w:type="dxa"/>
              <w:left w:w="140" w:type="dxa"/>
              <w:right w:w="140" w:type="dxa"/>
            </w:tcMar>
          </w:tcPr>
          <w:p>
            <w:pPr>
              <w:jc w:val="left"/>
            </w:pPr>
            <w:r>
              <w:rPr>
                <w:rFonts w:ascii="Calibri" w:hAnsi="Calibri"/>
                <w:color w:val="212529"/>
                <w:sz w:val="20"/>
              </w:rPr>
              <w:t>~150 km total district coastline; Puri urban beach ~7 km</w:t>
            </w:r>
          </w:p>
        </w:tc>
        <w:tc>
          <w:tcPr>
            <w:tcW w:type="dxa" w:w="4032"/>
            <w:shd w:fill="FFFFFF"/>
            <w:tcMar>
              <w:top w:w="100" w:type="dxa"/>
              <w:bottom w:w="100" w:type="dxa"/>
              <w:left w:w="140" w:type="dxa"/>
              <w:right w:w="140" w:type="dxa"/>
            </w:tcMar>
          </w:tcPr>
          <w:p>
            <w:pPr>
              <w:jc w:val="left"/>
            </w:pPr>
            <w:r>
              <w:rPr>
                <w:rFonts w:ascii="Calibri" w:hAnsi="Calibri"/>
                <w:color w:val="212529"/>
                <w:sz w:val="20"/>
              </w:rPr>
              <w:t>Center of maritime fishing (Kaibarta/Nolia), beach tourism, and Swargadwar sacred rites.</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Blue Flag Golden Beach</w:t>
            </w:r>
          </w:p>
        </w:tc>
        <w:tc>
          <w:tcPr>
            <w:tcW w:type="dxa" w:w="3168"/>
            <w:shd w:fill="F9F6F0"/>
            <w:tcMar>
              <w:top w:w="100" w:type="dxa"/>
              <w:bottom w:w="100" w:type="dxa"/>
              <w:left w:w="140" w:type="dxa"/>
              <w:right w:w="140" w:type="dxa"/>
            </w:tcMar>
          </w:tcPr>
          <w:p>
            <w:pPr>
              <w:jc w:val="left"/>
            </w:pPr>
            <w:r>
              <w:rPr>
                <w:rFonts w:ascii="Calibri" w:hAnsi="Calibri"/>
                <w:color w:val="212529"/>
                <w:sz w:val="20"/>
              </w:rPr>
              <w:t>Certified stretch at Puri Main Beachfront</w:t>
            </w:r>
          </w:p>
        </w:tc>
        <w:tc>
          <w:tcPr>
            <w:tcW w:type="dxa" w:w="4032"/>
            <w:shd w:fill="F9F6F0"/>
            <w:tcMar>
              <w:top w:w="100" w:type="dxa"/>
              <w:bottom w:w="100" w:type="dxa"/>
              <w:left w:w="140" w:type="dxa"/>
              <w:right w:w="140" w:type="dxa"/>
            </w:tcMar>
          </w:tcPr>
          <w:p>
            <w:pPr>
              <w:jc w:val="left"/>
            </w:pPr>
            <w:r>
              <w:rPr>
                <w:rFonts w:ascii="Calibri" w:hAnsi="Calibri"/>
                <w:color w:val="212529"/>
                <w:sz w:val="20"/>
              </w:rPr>
              <w:t>International eco-label certification for water quality, environmental management, and safety.</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Daya &amp; Bhargavi Rivers</w:t>
            </w:r>
          </w:p>
        </w:tc>
        <w:tc>
          <w:tcPr>
            <w:tcW w:type="dxa" w:w="3168"/>
            <w:shd w:fill="FFFFFF"/>
            <w:tcMar>
              <w:top w:w="100" w:type="dxa"/>
              <w:bottom w:w="100" w:type="dxa"/>
              <w:left w:w="140" w:type="dxa"/>
              <w:right w:w="140" w:type="dxa"/>
            </w:tcMar>
          </w:tcPr>
          <w:p>
            <w:pPr>
              <w:jc w:val="left"/>
            </w:pPr>
            <w:r>
              <w:rPr>
                <w:rFonts w:ascii="Calibri" w:hAnsi="Calibri"/>
                <w:color w:val="212529"/>
                <w:sz w:val="20"/>
              </w:rPr>
              <w:t>Distributaries of the Mahanadi delta system</w:t>
            </w:r>
          </w:p>
        </w:tc>
        <w:tc>
          <w:tcPr>
            <w:tcW w:type="dxa" w:w="4032"/>
            <w:shd w:fill="FFFFFF"/>
            <w:tcMar>
              <w:top w:w="100" w:type="dxa"/>
              <w:bottom w:w="100" w:type="dxa"/>
              <w:left w:w="140" w:type="dxa"/>
              <w:right w:w="140" w:type="dxa"/>
            </w:tcMar>
          </w:tcPr>
          <w:p>
            <w:pPr>
              <w:jc w:val="left"/>
            </w:pPr>
            <w:r>
              <w:rPr>
                <w:rFonts w:ascii="Calibri" w:hAnsi="Calibri"/>
                <w:color w:val="212529"/>
                <w:sz w:val="20"/>
              </w:rPr>
              <w:t>Hydrological lifelines supporting paddy cultivation and sacred tanks (Narendra, Indradyumna).</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Chilika Lake Lagoon</w:t>
            </w:r>
          </w:p>
        </w:tc>
        <w:tc>
          <w:tcPr>
            <w:tcW w:type="dxa" w:w="3168"/>
            <w:shd w:fill="F9F6F0"/>
            <w:tcMar>
              <w:top w:w="100" w:type="dxa"/>
              <w:bottom w:w="100" w:type="dxa"/>
              <w:left w:w="140" w:type="dxa"/>
              <w:right w:w="140" w:type="dxa"/>
            </w:tcMar>
          </w:tcPr>
          <w:p>
            <w:pPr>
              <w:jc w:val="left"/>
            </w:pPr>
            <w:r>
              <w:rPr>
                <w:rFonts w:ascii="Calibri" w:hAnsi="Calibri"/>
                <w:color w:val="212529"/>
                <w:sz w:val="20"/>
              </w:rPr>
              <w:t>1,165 km² (monsoon max); SW boundary of Puri district</w:t>
            </w:r>
          </w:p>
        </w:tc>
        <w:tc>
          <w:tcPr>
            <w:tcW w:type="dxa" w:w="4032"/>
            <w:shd w:fill="F9F6F0"/>
            <w:tcMar>
              <w:top w:w="100" w:type="dxa"/>
              <w:bottom w:w="100" w:type="dxa"/>
              <w:left w:w="140" w:type="dxa"/>
              <w:right w:w="140" w:type="dxa"/>
            </w:tcMar>
          </w:tcPr>
          <w:p>
            <w:pPr>
              <w:jc w:val="left"/>
            </w:pPr>
            <w:r>
              <w:rPr>
                <w:rFonts w:ascii="Calibri" w:hAnsi="Calibri"/>
                <w:color w:val="212529"/>
                <w:sz w:val="20"/>
              </w:rPr>
              <w:t>Asia's largest brackish lagoon, Ramsar site #229, home to Irrawaddy dolphins and migratory waterfowl.</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Balukhand-Konark Sanctuary</w:t>
            </w:r>
          </w:p>
        </w:tc>
        <w:tc>
          <w:tcPr>
            <w:tcW w:type="dxa" w:w="3168"/>
            <w:shd w:fill="FFFFFF"/>
            <w:tcMar>
              <w:top w:w="100" w:type="dxa"/>
              <w:bottom w:w="100" w:type="dxa"/>
              <w:left w:w="140" w:type="dxa"/>
              <w:right w:w="140" w:type="dxa"/>
            </w:tcMar>
          </w:tcPr>
          <w:p>
            <w:pPr>
              <w:jc w:val="left"/>
            </w:pPr>
            <w:r>
              <w:rPr>
                <w:rFonts w:ascii="Calibri" w:hAnsi="Calibri"/>
                <w:color w:val="212529"/>
                <w:sz w:val="20"/>
              </w:rPr>
              <w:t>71.72 km² coastal strip along Puri-Konark Marine Drive</w:t>
            </w:r>
          </w:p>
        </w:tc>
        <w:tc>
          <w:tcPr>
            <w:tcW w:type="dxa" w:w="4032"/>
            <w:shd w:fill="FFFFFF"/>
            <w:tcMar>
              <w:top w:w="100" w:type="dxa"/>
              <w:bottom w:w="100" w:type="dxa"/>
              <w:left w:w="140" w:type="dxa"/>
              <w:right w:w="140" w:type="dxa"/>
            </w:tcMar>
          </w:tcPr>
          <w:p>
            <w:pPr>
              <w:jc w:val="left"/>
            </w:pPr>
            <w:r>
              <w:rPr>
                <w:rFonts w:ascii="Calibri" w:hAnsi="Calibri"/>
                <w:color w:val="212529"/>
                <w:sz w:val="20"/>
              </w:rPr>
              <w:t>Casuarina and cashew plantations stabilizing coastal sand dunes; habitat for Spotted Deer (Axis axis).</w:t>
            </w:r>
          </w:p>
        </w:tc>
      </w:tr>
    </w:tbl>
    <w:p>
      <w:pPr>
        <w:spacing w:after="120"/>
      </w:pPr>
    </w:p>
    <w:p>
      <w:pPr>
        <w:keepNext/>
        <w:spacing w:before="320" w:after="120"/>
      </w:pPr>
      <w:r>
        <w:rPr>
          <w:rFonts w:ascii="Georgia" w:hAnsi="Georgia"/>
          <w:b/>
          <w:color w:val="8B1E0F"/>
          <w:sz w:val="30"/>
        </w:rPr>
        <w:t>2. Climate, Monsoonal Regimes, and Cyclone Vulnerability</w:t>
      </w:r>
    </w:p>
    <w:p>
      <w:pPr>
        <w:spacing w:after="120" w:line="276" w:lineRule="auto"/>
      </w:pPr>
      <w:r>
        <w:rPr>
          <w:rFonts w:ascii="Calibri" w:hAnsi="Calibri"/>
          <w:i w:val="0"/>
          <w:color w:val="212529"/>
          <w:sz w:val="22"/>
        </w:rPr>
        <w:t>Puri experiences a tropical maritime climate characterized by high humidity (often exceeding 80-85% in monsoon months), moderate winters (16°C to 28°C), and hot, humid summers (27°C to 38°C). Annual rainfall averages between 1,400 mm and 1,550 mm, with 75% delivered by the Southwest Monsoon between late June and October.</w:t>
      </w:r>
    </w:p>
    <w:tbl>
      <w:tblPr>
        <w:tblW w:type="auto" w:w="0"/>
        <w:jc w:val="center"/>
        <w:tblLayout w:type="fixed"/>
        <w:tblLook w:firstColumn="1" w:firstRow="1" w:lastColumn="0" w:lastRow="0" w:noHBand="0" w:noVBand="1" w:val="04A0"/>
      </w:tblPr>
      <w:tblGrid>
        <w:gridCol w:w="9360"/>
      </w:tblGrid>
      <w:tr>
        <w:tc>
          <w:tcPr>
            <w:tcW w:type="dxa" w:w="9360"/>
            <w:shd w:fill="F7F3E9"/>
            <w:tcMar>
              <w:top w:w="140" w:type="dxa"/>
              <w:bottom w:w="140" w:type="dxa"/>
              <w:left w:w="180" w:type="dxa"/>
              <w:right w:w="180" w:type="dxa"/>
            </w:tcMar>
            <w:tcBorders>
              <w:top w:val="none"/>
              <w:left w:val="single" w:sz="24" w:space="0" w:color="8B1E0F"/>
              <w:bottom w:val="none"/>
              <w:right w:val="none"/>
            </w:tcBorders>
          </w:tcPr>
          <w:p>
            <w:pPr>
              <w:spacing w:after="60"/>
            </w:pPr>
            <w:r>
              <w:rPr>
                <w:rFonts w:ascii="Calibri" w:hAnsi="Calibri"/>
                <w:b/>
                <w:color w:val="8B1E0F"/>
                <w:sz w:val="19"/>
              </w:rPr>
              <w:t xml:space="preserve">[ENVIRONMENTAL HAZARD]  </w:t>
            </w:r>
            <w:r>
              <w:rPr>
                <w:rFonts w:ascii="Calibri" w:hAnsi="Calibri"/>
                <w:b/>
                <w:color w:val="B87333"/>
                <w:sz w:val="18"/>
              </w:rPr>
              <w:t xml:space="preserve">[CONFIDENCE: HIGH]  </w:t>
            </w:r>
            <w:r>
              <w:rPr>
                <w:rFonts w:ascii="Georgia" w:hAnsi="Georgia"/>
                <w:b/>
                <w:color w:val="2C3E50"/>
                <w:sz w:val="22"/>
              </w:rPr>
              <w:t>Vulnerability to Severe Tropical Cyclones</w:t>
              <w:br/>
            </w:r>
          </w:p>
          <w:p>
            <w:pPr>
              <w:spacing w:after="0" w:line="276" w:lineRule="auto"/>
            </w:pPr>
            <w:r>
              <w:rPr>
                <w:rFonts w:ascii="Calibri" w:hAnsi="Calibri"/>
                <w:color w:val="212529"/>
                <w:sz w:val="21"/>
              </w:rPr>
              <w:t>Situated along the north-western arc of the Bay of Bengal, Puri is historically vulnerable to high-intensity cyclones. Significant catastrophic events include the 1999 Super Cyclone (05B), Cyclone Phailin (2013), and Cyclone Fani (May 2019), which made landfall directly near Puri with wind speeds reaching 215 km/h. These events cause substantial damage to traditional thatched architecture, coastal vegetation, and heritage matha structures, necessitating robust disaster resilience protocols by the ASI and state administration.</w:t>
            </w:r>
          </w:p>
        </w:tc>
      </w:tr>
    </w:tbl>
    <w:p>
      <w:pPr>
        <w:spacing w:after="80"/>
      </w:pPr>
    </w:p>
    <w:p>
      <w:pPr>
        <w:keepNext/>
        <w:spacing w:before="320" w:after="120"/>
      </w:pPr>
      <w:r>
        <w:rPr>
          <w:rFonts w:ascii="Georgia" w:hAnsi="Georgia"/>
          <w:b/>
          <w:color w:val="8B1E0F"/>
          <w:sz w:val="30"/>
        </w:rPr>
        <w:t>3. Sacred Hydrology: The Sacred Tanks (Pancha Tirtha)</w:t>
      </w:r>
    </w:p>
    <w:p>
      <w:pPr>
        <w:spacing w:after="120" w:line="276" w:lineRule="auto"/>
      </w:pPr>
      <w:r>
        <w:rPr>
          <w:rFonts w:ascii="Calibri" w:hAnsi="Calibri"/>
          <w:i w:val="0"/>
          <w:color w:val="212529"/>
          <w:sz w:val="22"/>
        </w:rPr>
        <w:t>Puri's urban form is structured around an ancient wetland and hydrological network that serves both utilitarian water management and ritual purification functions. Five water bodies constitute the 'Pancha Tirtha', where pilgrims are mandated to perform ablutions:</w:t>
      </w:r>
    </w:p>
    <w:p>
      <w:pPr>
        <w:pStyle w:val="ListBullet"/>
        <w:spacing w:after="60" w:line="276" w:lineRule="auto"/>
      </w:pPr>
      <w:r>
        <w:rPr>
          <w:rFonts w:ascii="Calibri" w:hAnsi="Calibri"/>
          <w:b/>
          <w:color w:val="2C3E50"/>
          <w:sz w:val="22"/>
        </w:rPr>
        <w:t xml:space="preserve">1. </w:t>
      </w:r>
      <w:r>
        <w:rPr>
          <w:rFonts w:ascii="Calibri" w:hAnsi="Calibri"/>
          <w:color w:val="212529"/>
          <w:sz w:val="22"/>
        </w:rPr>
        <w:t>Narendra Tank (Narendra Pokhari): Spanning over 14 acres with a central island temple (Chandan Mandapa), this tank hosts the 42-day Chandan Yatra water festival where the representative deities (Madanmohana) enjoy divine boat cruises (Chapa Khela).</w:t>
      </w:r>
    </w:p>
    <w:p>
      <w:pPr>
        <w:pStyle w:val="ListBullet"/>
        <w:spacing w:after="60" w:line="276" w:lineRule="auto"/>
      </w:pPr>
      <w:r>
        <w:rPr>
          <w:rFonts w:ascii="Calibri" w:hAnsi="Calibri"/>
          <w:b/>
          <w:color w:val="2C3E50"/>
          <w:sz w:val="22"/>
        </w:rPr>
        <w:t xml:space="preserve">2. </w:t>
      </w:r>
      <w:r>
        <w:rPr>
          <w:rFonts w:ascii="Calibri" w:hAnsi="Calibri"/>
          <w:color w:val="212529"/>
          <w:sz w:val="22"/>
        </w:rPr>
        <w:t>Markandeshwar Tank: Adjacent to the 12th-century Markandeshwar Shiva temple, linked in puranic lore to Sage Markandeya's penance.</w:t>
      </w:r>
    </w:p>
    <w:p>
      <w:pPr>
        <w:pStyle w:val="ListBullet"/>
        <w:spacing w:after="60" w:line="276" w:lineRule="auto"/>
      </w:pPr>
      <w:r>
        <w:rPr>
          <w:rFonts w:ascii="Calibri" w:hAnsi="Calibri"/>
          <w:b/>
          <w:color w:val="2C3E50"/>
          <w:sz w:val="22"/>
        </w:rPr>
        <w:t xml:space="preserve">3. </w:t>
      </w:r>
      <w:r>
        <w:rPr>
          <w:rFonts w:ascii="Calibri" w:hAnsi="Calibri"/>
          <w:color w:val="212529"/>
          <w:sz w:val="22"/>
        </w:rPr>
        <w:t>Indradyumna Tank: Associated with King Indradyumna's Ashwamedha sacrifice; fed by natural aquifers and renowned for freshwater turtles.</w:t>
      </w:r>
    </w:p>
    <w:p>
      <w:pPr>
        <w:pStyle w:val="ListBullet"/>
        <w:spacing w:after="60" w:line="276" w:lineRule="auto"/>
      </w:pPr>
      <w:r>
        <w:rPr>
          <w:rFonts w:ascii="Calibri" w:hAnsi="Calibri"/>
          <w:b/>
          <w:color w:val="2C3E50"/>
          <w:sz w:val="22"/>
        </w:rPr>
        <w:t xml:space="preserve">4. </w:t>
      </w:r>
      <w:r>
        <w:rPr>
          <w:rFonts w:ascii="Calibri" w:hAnsi="Calibri"/>
          <w:color w:val="212529"/>
          <w:sz w:val="22"/>
        </w:rPr>
        <w:t>Swargadwar Sea Bathing (Mahodadhi Tirtha): The Bay of Bengal itself at Swargadwar, where the ocean is revered as Mahodadhi, a sacred personification of divine purification.</w:t>
      </w:r>
    </w:p>
    <w:p>
      <w:pPr>
        <w:pStyle w:val="ListBullet"/>
        <w:spacing w:after="60" w:line="276" w:lineRule="auto"/>
      </w:pPr>
      <w:r>
        <w:rPr>
          <w:rFonts w:ascii="Calibri" w:hAnsi="Calibri"/>
          <w:b/>
          <w:color w:val="2C3E50"/>
          <w:sz w:val="22"/>
        </w:rPr>
        <w:t xml:space="preserve">5. </w:t>
      </w:r>
      <w:r>
        <w:rPr>
          <w:rFonts w:ascii="Calibri" w:hAnsi="Calibri"/>
          <w:color w:val="212529"/>
          <w:sz w:val="22"/>
        </w:rPr>
        <w:t>Rohini Kunda: Located within the inner precinct of the Jagannath Temple, containing sacred water sanctified by the presence of the mythical Crow (Kaka Bhusundi).</w:t>
      </w:r>
    </w:p>
    <w:p>
      <w:pPr>
        <w:keepNext/>
        <w:spacing w:before="320" w:after="120"/>
      </w:pPr>
      <w:r>
        <w:rPr>
          <w:rFonts w:ascii="Georgia" w:hAnsi="Georgia"/>
          <w:b/>
          <w:color w:val="8B1E0F"/>
          <w:sz w:val="30"/>
        </w:rPr>
        <w:t>4. Interconnection: Geography, Occupation, and Food Systems</w:t>
      </w:r>
    </w:p>
    <w:p>
      <w:pPr>
        <w:spacing w:after="120" w:line="276" w:lineRule="auto"/>
      </w:pPr>
      <w:r>
        <w:rPr>
          <w:rFonts w:ascii="Calibri" w:hAnsi="Calibri"/>
          <w:i w:val="0"/>
          <w:color w:val="212529"/>
          <w:sz w:val="22"/>
        </w:rPr>
        <w:t>The physical geography of Puri directly dictates its cultural and economic patterns:</w:t>
      </w:r>
    </w:p>
    <w:p>
      <w:pPr>
        <w:pStyle w:val="ListBullet"/>
        <w:spacing w:after="60" w:line="276" w:lineRule="auto"/>
      </w:pPr>
      <w:r>
        <w:rPr>
          <w:rFonts w:ascii="Calibri" w:hAnsi="Calibri"/>
          <w:b/>
          <w:color w:val="2C3E50"/>
          <w:sz w:val="22"/>
        </w:rPr>
        <w:t xml:space="preserve">• </w:t>
      </w:r>
      <w:r>
        <w:rPr>
          <w:rFonts w:ascii="Calibri" w:hAnsi="Calibri"/>
          <w:color w:val="212529"/>
          <w:sz w:val="22"/>
        </w:rPr>
        <w:t>Alluvial Plains &amp; Sacred Agriculture: The fertile delta soils of the Bhargavi and Daya rivers produce indigenous short-grain aromatic rice varieties (such as Kalajeera and Padmakeshari) reserved exclusively for Mahaprasad temple preparations.</w:t>
      </w:r>
    </w:p>
    <w:p>
      <w:pPr>
        <w:pStyle w:val="ListBullet"/>
        <w:spacing w:after="60" w:line="276" w:lineRule="auto"/>
      </w:pPr>
      <w:r>
        <w:rPr>
          <w:rFonts w:ascii="Calibri" w:hAnsi="Calibri"/>
          <w:b/>
          <w:color w:val="2C3E50"/>
          <w:sz w:val="22"/>
        </w:rPr>
        <w:t xml:space="preserve">• </w:t>
      </w:r>
      <w:r>
        <w:rPr>
          <w:rFonts w:ascii="Calibri" w:hAnsi="Calibri"/>
          <w:color w:val="212529"/>
          <w:sz w:val="22"/>
        </w:rPr>
        <w:t>Maritime Resources: The littoral ecosystem sustains traditional artisanal fishing communities (Kaibartas and Telugu-speaking Nolia migrants) operating catamarans and motorized dinghies.</w:t>
      </w:r>
    </w:p>
    <w:p>
      <w:pPr>
        <w:pStyle w:val="ListBullet"/>
        <w:spacing w:after="60" w:line="276" w:lineRule="auto"/>
      </w:pPr>
      <w:r>
        <w:rPr>
          <w:rFonts w:ascii="Calibri" w:hAnsi="Calibri"/>
          <w:b/>
          <w:color w:val="2C3E50"/>
          <w:sz w:val="22"/>
        </w:rPr>
        <w:t xml:space="preserve">• </w:t>
      </w:r>
      <w:r>
        <w:rPr>
          <w:rFonts w:ascii="Calibri" w:hAnsi="Calibri"/>
          <w:color w:val="212529"/>
          <w:sz w:val="22"/>
        </w:rPr>
        <w:t>Saline Agro-Ecosystems: Coastal coconut and betel-leaf (Paan) groves in Puri district form a major agricultural export commodity, with Puri Paan holding high commercial and ritual reverence.</w:t>
      </w: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PUR-S003</w:t>
            </w:r>
          </w:p>
        </w:tc>
        <w:tc>
          <w:tcPr>
            <w:tcW w:type="dxa" w:w="2016"/>
            <w:shd w:fill="FFFFFF"/>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FFFFF"/>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PUR-S004</w:t>
            </w:r>
          </w:p>
        </w:tc>
        <w:tc>
          <w:tcPr>
            <w:tcW w:type="dxa" w:w="2016"/>
            <w:shd w:fill="F9F6F0"/>
            <w:tcMar>
              <w:top w:w="100" w:type="dxa"/>
              <w:bottom w:w="100" w:type="dxa"/>
              <w:left w:w="140" w:type="dxa"/>
              <w:right w:w="140" w:type="dxa"/>
            </w:tcMar>
          </w:tcPr>
          <w:p>
            <w:pPr>
              <w:jc w:val="left"/>
            </w:pPr>
            <w:r>
              <w:rPr>
                <w:rFonts w:ascii="Calibri" w:hAnsi="Calibri"/>
                <w:color w:val="212529"/>
                <w:sz w:val="20"/>
              </w:rPr>
              <w:t>District Administration Puri</w:t>
            </w:r>
          </w:p>
        </w:tc>
        <w:tc>
          <w:tcPr>
            <w:tcW w:type="dxa" w:w="3024"/>
            <w:shd w:fill="F9F6F0"/>
            <w:tcMar>
              <w:top w:w="100" w:type="dxa"/>
              <w:bottom w:w="100" w:type="dxa"/>
              <w:left w:w="140" w:type="dxa"/>
              <w:right w:w="140" w:type="dxa"/>
            </w:tcMar>
          </w:tcPr>
          <w:p>
            <w:pPr>
              <w:jc w:val="left"/>
            </w:pPr>
            <w:r>
              <w:rPr>
                <w:rFonts w:ascii="Calibri" w:hAnsi="Calibri"/>
                <w:color w:val="212529"/>
                <w:sz w:val="20"/>
              </w:rPr>
              <w:t>District Statistical Handbook: Puri Demography, Geography &amp; Coastal Ecology</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Handbook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https://puri.nic.in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PUR-S005</w:t>
            </w:r>
          </w:p>
        </w:tc>
        <w:tc>
          <w:tcPr>
            <w:tcW w:type="dxa" w:w="2016"/>
            <w:shd w:fill="FFFFFF"/>
            <w:tcMar>
              <w:top w:w="100" w:type="dxa"/>
              <w:bottom w:w="100" w:type="dxa"/>
              <w:left w:w="140" w:type="dxa"/>
              <w:right w:w="140" w:type="dxa"/>
            </w:tcMar>
          </w:tcPr>
          <w:p>
            <w:pPr>
              <w:jc w:val="left"/>
            </w:pPr>
            <w:r>
              <w:rPr>
                <w:rFonts w:ascii="Calibri" w:hAnsi="Calibri"/>
                <w:color w:val="212529"/>
                <w:sz w:val="20"/>
              </w:rPr>
              <w:t>UNESCO / Ministry of Environment</w:t>
            </w:r>
          </w:p>
        </w:tc>
        <w:tc>
          <w:tcPr>
            <w:tcW w:type="dxa" w:w="3024"/>
            <w:shd w:fill="FFFFFF"/>
            <w:tcMar>
              <w:top w:w="100" w:type="dxa"/>
              <w:bottom w:w="100" w:type="dxa"/>
              <w:left w:w="140" w:type="dxa"/>
              <w:right w:w="140" w:type="dxa"/>
            </w:tcMar>
          </w:tcPr>
          <w:p>
            <w:pPr>
              <w:jc w:val="left"/>
            </w:pPr>
            <w:r>
              <w:rPr>
                <w:rFonts w:ascii="Calibri" w:hAnsi="Calibri"/>
                <w:color w:val="212529"/>
                <w:sz w:val="20"/>
              </w:rPr>
              <w:t>Chilika Lake Ramsar Wetland Site Ecological Assessment &amp; Biodiversity Register</w:t>
            </w:r>
          </w:p>
        </w:tc>
        <w:tc>
          <w:tcPr>
            <w:tcW w:type="dxa" w:w="1584"/>
            <w:shd w:fill="FFFFFF"/>
            <w:tcMar>
              <w:top w:w="100" w:type="dxa"/>
              <w:bottom w:w="100" w:type="dxa"/>
              <w:left w:w="140" w:type="dxa"/>
              <w:right w:w="140" w:type="dxa"/>
            </w:tcMar>
          </w:tcPr>
          <w:p>
            <w:pPr>
              <w:jc w:val="left"/>
            </w:pPr>
            <w:r>
              <w:rPr>
                <w:rFonts w:ascii="Calibri" w:hAnsi="Calibri"/>
                <w:color w:val="212529"/>
                <w:sz w:val="20"/>
              </w:rPr>
              <w:t>Ecological Register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https://chilika.com</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PUR-S006</w:t>
            </w:r>
          </w:p>
        </w:tc>
        <w:tc>
          <w:tcPr>
            <w:tcW w:type="dxa" w:w="2016"/>
            <w:shd w:fill="F9F6F0"/>
            <w:tcMar>
              <w:top w:w="100" w:type="dxa"/>
              <w:bottom w:w="100" w:type="dxa"/>
              <w:left w:w="140" w:type="dxa"/>
              <w:right w:w="140" w:type="dxa"/>
            </w:tcMar>
          </w:tcPr>
          <w:p>
            <w:pPr>
              <w:jc w:val="left"/>
            </w:pPr>
            <w:r>
              <w:rPr>
                <w:rFonts w:ascii="Calibri" w:hAnsi="Calibri"/>
                <w:color w:val="212529"/>
                <w:sz w:val="20"/>
              </w:rPr>
              <w:t>INTACH (Odisha State Chapter)</w:t>
            </w:r>
          </w:p>
        </w:tc>
        <w:tc>
          <w:tcPr>
            <w:tcW w:type="dxa" w:w="3024"/>
            <w:shd w:fill="F9F6F0"/>
            <w:tcMar>
              <w:top w:w="100" w:type="dxa"/>
              <w:bottom w:w="100" w:type="dxa"/>
              <w:left w:w="140" w:type="dxa"/>
              <w:right w:w="140" w:type="dxa"/>
            </w:tcMar>
          </w:tcPr>
          <w:p>
            <w:pPr>
              <w:jc w:val="left"/>
            </w:pPr>
            <w:r>
              <w:rPr>
                <w:rFonts w:ascii="Calibri" w:hAnsi="Calibri"/>
                <w:color w:val="212529"/>
                <w:sz w:val="20"/>
              </w:rPr>
              <w:t>Listing and Documentation of Built Heritage &amp; Traditional Mathas of Puri (Shrikshetra)</w:t>
            </w:r>
          </w:p>
        </w:tc>
        <w:tc>
          <w:tcPr>
            <w:tcW w:type="dxa" w:w="1584"/>
            <w:shd w:fill="F9F6F0"/>
            <w:tcMar>
              <w:top w:w="100" w:type="dxa"/>
              <w:bottom w:w="100" w:type="dxa"/>
              <w:left w:w="140" w:type="dxa"/>
              <w:right w:w="140" w:type="dxa"/>
            </w:tcMar>
          </w:tcPr>
          <w:p>
            <w:pPr>
              <w:jc w:val="left"/>
            </w:pPr>
            <w:r>
              <w:rPr>
                <w:rFonts w:ascii="Calibri" w:hAnsi="Calibri"/>
                <w:color w:val="212529"/>
                <w:sz w:val="20"/>
              </w:rPr>
              <w:t>Heritage Monograph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https://intach.org</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GEOGRAPHY &amp; ENVIRONMENT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