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03 • HISTORICAL CHRONOLOGY</w:t>
              <w:br/>
            </w:r>
            <w:r>
              <w:rPr>
                <w:rFonts w:ascii="Georgia" w:hAnsi="Georgia"/>
                <w:b/>
                <w:color w:val="FFFFFF"/>
                <w:sz w:val="36"/>
              </w:rPr>
              <w:t>Comprehensive History of Puri: From Antiquity to Modern Era</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Ancient Foundations &amp; Early Epigraphic Traces</w:t>
      </w:r>
    </w:p>
    <w:p>
      <w:pPr>
        <w:spacing w:after="120" w:line="276" w:lineRule="auto"/>
      </w:pPr>
      <w:r>
        <w:rPr>
          <w:rFonts w:ascii="Calibri" w:hAnsi="Calibri"/>
          <w:i w:val="0"/>
          <w:color w:val="212529"/>
          <w:sz w:val="22"/>
        </w:rPr>
        <w:t>The historical origins of Puri as a sacred center are deeply intertwined with the ancient geo-political entities of Kalinga, Odra, and Utkala. While puranic narratives (Brahma Purana, Skanda Purana) attribute its founding to the legendary King Indradyumna of the Solar Dynasty, epigraphic and archaeological records trace human occupation and localized tribal tree-worship back to the pre-Mauryan and early historic periods.</w:t>
      </w:r>
    </w:p>
    <w:tbl>
      <w:tblPr>
        <w:tblW w:type="auto" w:w="0"/>
        <w:jc w:val="center"/>
        <w:tblLayout w:type="fixed"/>
        <w:tblLook w:firstColumn="1" w:firstRow="1" w:lastColumn="0" w:lastRow="0" w:noHBand="0" w:noVBand="1" w:val="04A0"/>
      </w:tblPr>
      <w:tblGrid>
        <w:gridCol w:w="9360"/>
      </w:tblGrid>
      <w:tr>
        <w:tc>
          <w:tcPr>
            <w:tcW w:type="dxa" w:w="9360"/>
            <w:shd w:fill="F7F3E9"/>
            <w:tcMar>
              <w:top w:w="140" w:type="dxa"/>
              <w:bottom w:w="140" w:type="dxa"/>
              <w:left w:w="180" w:type="dxa"/>
              <w:right w:w="180" w:type="dxa"/>
            </w:tcMar>
            <w:tcBorders>
              <w:top w:val="none"/>
              <w:left w:val="single" w:sz="24" w:space="0" w:color="8B1E0F"/>
              <w:bottom w:val="none"/>
              <w:right w:val="none"/>
            </w:tcBorders>
          </w:tcPr>
          <w:p>
            <w:pPr>
              <w:spacing w:after="60"/>
            </w:pPr>
            <w:r>
              <w:rPr>
                <w:rFonts w:ascii="Calibri" w:hAnsi="Calibri"/>
                <w:b/>
                <w:color w:val="8B1E0F"/>
                <w:sz w:val="19"/>
              </w:rPr>
              <w:t xml:space="preserve">[HISTORICAL EVIDENCE]  </w:t>
            </w:r>
            <w:r>
              <w:rPr>
                <w:rFonts w:ascii="Calibri" w:hAnsi="Calibri"/>
                <w:b/>
                <w:color w:val="B87333"/>
                <w:sz w:val="18"/>
              </w:rPr>
              <w:t xml:space="preserve">[CONFIDENCE: HIGH]  </w:t>
            </w:r>
            <w:r>
              <w:rPr>
                <w:rFonts w:ascii="Georgia" w:hAnsi="Georgia"/>
                <w:b/>
                <w:color w:val="2C3E50"/>
                <w:sz w:val="22"/>
              </w:rPr>
              <w:t>Early Historic Epigraphy &amp; the Kurmeswar / Bhauma Inscriptions</w:t>
              <w:br/>
            </w:r>
          </w:p>
          <w:p>
            <w:pPr>
              <w:spacing w:after="0" w:line="276" w:lineRule="auto"/>
            </w:pPr>
            <w:r>
              <w:rPr>
                <w:rFonts w:ascii="Calibri" w:hAnsi="Calibri"/>
                <w:color w:val="212529"/>
                <w:sz w:val="21"/>
              </w:rPr>
              <w:t>The earliest verifiable epigraphic allusions to Purushottama at Puri appear during the 7th–8th century CE under the Shailodbhava and early Bhauma-Kara dynasties. Epigraphist D.C. Sircar and historian K.C. Panigrahi note that before the present stone temple, an earlier shrine existed, documented in the 8th-century Anargharaghava of Murari and confirmed by the Ganjam plates.</w:t>
            </w:r>
          </w:p>
        </w:tc>
      </w:tr>
    </w:tbl>
    <w:p>
      <w:pPr>
        <w:spacing w:after="80"/>
      </w:pPr>
    </w:p>
    <w:p>
      <w:pPr>
        <w:keepNext/>
        <w:spacing w:before="320" w:after="120"/>
      </w:pPr>
      <w:r>
        <w:rPr>
          <w:rFonts w:ascii="Georgia" w:hAnsi="Georgia"/>
          <w:b/>
          <w:color w:val="8B1E0F"/>
          <w:sz w:val="30"/>
        </w:rPr>
        <w:t>2. Dynastic Chronology of Puri and the Jagannath Complex</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016"/>
            <w:shd w:fill="8B1E0F"/>
            <w:tcMar>
              <w:top w:w="120" w:type="dxa"/>
              <w:bottom w:w="120" w:type="dxa"/>
              <w:left w:w="140" w:type="dxa"/>
              <w:right w:w="140" w:type="dxa"/>
            </w:tcMar>
          </w:tcPr>
          <w:p>
            <w:pPr>
              <w:jc w:val="left"/>
            </w:pPr>
            <w:r>
              <w:rPr>
                <w:rFonts w:ascii="Calibri" w:hAnsi="Calibri"/>
                <w:b/>
                <w:color w:val="FFFFFF"/>
                <w:sz w:val="20"/>
              </w:rPr>
              <w:t>Historical Era / Dynasty</w:t>
            </w:r>
          </w:p>
        </w:tc>
        <w:tc>
          <w:tcPr>
            <w:tcW w:type="dxa" w:w="1728"/>
            <w:shd w:fill="8B1E0F"/>
            <w:tcMar>
              <w:top w:w="120" w:type="dxa"/>
              <w:bottom w:w="120" w:type="dxa"/>
              <w:left w:w="140" w:type="dxa"/>
              <w:right w:w="140" w:type="dxa"/>
            </w:tcMar>
          </w:tcPr>
          <w:p>
            <w:pPr>
              <w:jc w:val="left"/>
            </w:pPr>
            <w:r>
              <w:rPr>
                <w:rFonts w:ascii="Calibri" w:hAnsi="Calibri"/>
                <w:b/>
                <w:color w:val="FFFFFF"/>
                <w:sz w:val="20"/>
              </w:rPr>
              <w:t>Chronological Period</w:t>
            </w:r>
          </w:p>
        </w:tc>
        <w:tc>
          <w:tcPr>
            <w:tcW w:type="dxa" w:w="5616"/>
            <w:shd w:fill="8B1E0F"/>
            <w:tcMar>
              <w:top w:w="120" w:type="dxa"/>
              <w:bottom w:w="120" w:type="dxa"/>
              <w:left w:w="140" w:type="dxa"/>
              <w:right w:w="140" w:type="dxa"/>
            </w:tcMar>
          </w:tcPr>
          <w:p>
            <w:pPr>
              <w:jc w:val="left"/>
            </w:pPr>
            <w:r>
              <w:rPr>
                <w:rFonts w:ascii="Calibri" w:hAnsi="Calibri"/>
                <w:b/>
                <w:color w:val="FFFFFF"/>
                <w:sz w:val="20"/>
              </w:rPr>
              <w:t>Key Rulers &amp; Major Historical Developments</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Early Kingdoms &amp; Somavamsis</w:t>
            </w:r>
          </w:p>
        </w:tc>
        <w:tc>
          <w:tcPr>
            <w:tcW w:type="dxa" w:w="1728"/>
            <w:shd w:fill="FFFFFF"/>
            <w:tcMar>
              <w:top w:w="100" w:type="dxa"/>
              <w:bottom w:w="100" w:type="dxa"/>
              <w:left w:w="140" w:type="dxa"/>
              <w:right w:w="140" w:type="dxa"/>
            </w:tcMar>
          </w:tcPr>
          <w:p>
            <w:pPr>
              <w:jc w:val="left"/>
            </w:pPr>
            <w:r>
              <w:rPr>
                <w:rFonts w:ascii="Calibri" w:hAnsi="Calibri"/>
                <w:color w:val="212529"/>
                <w:sz w:val="20"/>
              </w:rPr>
              <w:t>c. 7th – 11th Century CE</w:t>
            </w:r>
          </w:p>
        </w:tc>
        <w:tc>
          <w:tcPr>
            <w:tcW w:type="dxa" w:w="5616"/>
            <w:shd w:fill="FFFFFF"/>
            <w:tcMar>
              <w:top w:w="100" w:type="dxa"/>
              <w:bottom w:w="100" w:type="dxa"/>
              <w:left w:w="140" w:type="dxa"/>
              <w:right w:w="140" w:type="dxa"/>
            </w:tcMar>
          </w:tcPr>
          <w:p>
            <w:pPr>
              <w:jc w:val="left"/>
            </w:pPr>
            <w:r>
              <w:rPr>
                <w:rFonts w:ascii="Calibri" w:hAnsi="Calibri"/>
                <w:color w:val="212529"/>
                <w:sz w:val="20"/>
              </w:rPr>
              <w:t>Yayati I (Yayati Kesari) according to Madala Panji traditions rebuilt the early shrine and consecrated the deities after recovering them from Sonepur.</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Eastern Ganga Dynasty</w:t>
            </w:r>
          </w:p>
        </w:tc>
        <w:tc>
          <w:tcPr>
            <w:tcW w:type="dxa" w:w="1728"/>
            <w:shd w:fill="F9F6F0"/>
            <w:tcMar>
              <w:top w:w="100" w:type="dxa"/>
              <w:bottom w:w="100" w:type="dxa"/>
              <w:left w:w="140" w:type="dxa"/>
              <w:right w:w="140" w:type="dxa"/>
            </w:tcMar>
          </w:tcPr>
          <w:p>
            <w:pPr>
              <w:jc w:val="left"/>
            </w:pPr>
            <w:r>
              <w:rPr>
                <w:rFonts w:ascii="Calibri" w:hAnsi="Calibri"/>
                <w:color w:val="212529"/>
                <w:sz w:val="20"/>
              </w:rPr>
              <w:t>1078 – 1434 CE</w:t>
            </w:r>
          </w:p>
        </w:tc>
        <w:tc>
          <w:tcPr>
            <w:tcW w:type="dxa" w:w="5616"/>
            <w:shd w:fill="F9F6F0"/>
            <w:tcMar>
              <w:top w:w="100" w:type="dxa"/>
              <w:bottom w:w="100" w:type="dxa"/>
              <w:left w:w="140" w:type="dxa"/>
              <w:right w:w="140" w:type="dxa"/>
            </w:tcMar>
          </w:tcPr>
          <w:p>
            <w:pPr>
              <w:jc w:val="left"/>
            </w:pPr>
            <w:r>
              <w:rPr>
                <w:rFonts w:ascii="Calibri" w:hAnsi="Calibri"/>
                <w:color w:val="212529"/>
                <w:sz w:val="20"/>
              </w:rPr>
              <w:t>Anantavarman Chodaganga Deva (r. 1077–1147) commissioned the colossal 65m high Jagannath Deula. Completed under Anangabhima Deva III (r. 1211–1238), who consecrated the empire to Jagannath (Purushottama-Samrajya).</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Suryavamsi Gajapati Dynasty</w:t>
            </w:r>
          </w:p>
        </w:tc>
        <w:tc>
          <w:tcPr>
            <w:tcW w:type="dxa" w:w="1728"/>
            <w:shd w:fill="FFFFFF"/>
            <w:tcMar>
              <w:top w:w="100" w:type="dxa"/>
              <w:bottom w:w="100" w:type="dxa"/>
              <w:left w:w="140" w:type="dxa"/>
              <w:right w:w="140" w:type="dxa"/>
            </w:tcMar>
          </w:tcPr>
          <w:p>
            <w:pPr>
              <w:jc w:val="left"/>
            </w:pPr>
            <w:r>
              <w:rPr>
                <w:rFonts w:ascii="Calibri" w:hAnsi="Calibri"/>
                <w:color w:val="212529"/>
                <w:sz w:val="20"/>
              </w:rPr>
              <w:t>1434 – 1541 CE</w:t>
            </w:r>
          </w:p>
        </w:tc>
        <w:tc>
          <w:tcPr>
            <w:tcW w:type="dxa" w:w="5616"/>
            <w:shd w:fill="FFFFFF"/>
            <w:tcMar>
              <w:top w:w="100" w:type="dxa"/>
              <w:bottom w:w="100" w:type="dxa"/>
              <w:left w:w="140" w:type="dxa"/>
              <w:right w:w="140" w:type="dxa"/>
            </w:tcMar>
          </w:tcPr>
          <w:p>
            <w:pPr>
              <w:jc w:val="left"/>
            </w:pPr>
            <w:r>
              <w:rPr>
                <w:rFonts w:ascii="Calibri" w:hAnsi="Calibri"/>
                <w:color w:val="212529"/>
                <w:sz w:val="20"/>
              </w:rPr>
              <w:t>Kapilendra Deva, Purushottama Deva, and Prataparudra Deva. The concept of 'Gajapati as the Royal Servitor (Rauta / First Sevaka)' solidified. Grand road expansions and Natamandapa/Bhoga Mandapa additions.</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Bhakti &amp; Chaitanya Era</w:t>
            </w:r>
          </w:p>
        </w:tc>
        <w:tc>
          <w:tcPr>
            <w:tcW w:type="dxa" w:w="1728"/>
            <w:shd w:fill="F9F6F0"/>
            <w:tcMar>
              <w:top w:w="100" w:type="dxa"/>
              <w:bottom w:w="100" w:type="dxa"/>
              <w:left w:w="140" w:type="dxa"/>
              <w:right w:w="140" w:type="dxa"/>
            </w:tcMar>
          </w:tcPr>
          <w:p>
            <w:pPr>
              <w:jc w:val="left"/>
            </w:pPr>
            <w:r>
              <w:rPr>
                <w:rFonts w:ascii="Calibri" w:hAnsi="Calibri"/>
                <w:color w:val="212529"/>
                <w:sz w:val="20"/>
              </w:rPr>
              <w:t>1510 – 1533 CE</w:t>
            </w:r>
          </w:p>
        </w:tc>
        <w:tc>
          <w:tcPr>
            <w:tcW w:type="dxa" w:w="5616"/>
            <w:shd w:fill="F9F6F0"/>
            <w:tcMar>
              <w:top w:w="100" w:type="dxa"/>
              <w:bottom w:w="100" w:type="dxa"/>
              <w:left w:w="140" w:type="dxa"/>
              <w:right w:w="140" w:type="dxa"/>
            </w:tcMar>
          </w:tcPr>
          <w:p>
            <w:pPr>
              <w:jc w:val="left"/>
            </w:pPr>
            <w:r>
              <w:rPr>
                <w:rFonts w:ascii="Calibri" w:hAnsi="Calibri"/>
                <w:color w:val="212529"/>
                <w:sz w:val="20"/>
              </w:rPr>
              <w:t>Shri Chaitanya Mahaprabhu resided in Puri for 24 years at Gambhira, transforming Gaudiya Vaishnavism and popularizing ecstatic devotional singing (Kirtan).</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Sultanate &amp; Mughal Era</w:t>
            </w:r>
          </w:p>
        </w:tc>
        <w:tc>
          <w:tcPr>
            <w:tcW w:type="dxa" w:w="1728"/>
            <w:shd w:fill="FFFFFF"/>
            <w:tcMar>
              <w:top w:w="100" w:type="dxa"/>
              <w:bottom w:w="100" w:type="dxa"/>
              <w:left w:w="140" w:type="dxa"/>
              <w:right w:w="140" w:type="dxa"/>
            </w:tcMar>
          </w:tcPr>
          <w:p>
            <w:pPr>
              <w:jc w:val="left"/>
            </w:pPr>
            <w:r>
              <w:rPr>
                <w:rFonts w:ascii="Calibri" w:hAnsi="Calibri"/>
                <w:color w:val="212529"/>
                <w:sz w:val="20"/>
              </w:rPr>
              <w:t>1568 – 1751 CE</w:t>
            </w:r>
          </w:p>
        </w:tc>
        <w:tc>
          <w:tcPr>
            <w:tcW w:type="dxa" w:w="5616"/>
            <w:shd w:fill="FFFFFF"/>
            <w:tcMar>
              <w:top w:w="100" w:type="dxa"/>
              <w:bottom w:w="100" w:type="dxa"/>
              <w:left w:w="140" w:type="dxa"/>
              <w:right w:w="140" w:type="dxa"/>
            </w:tcMar>
          </w:tcPr>
          <w:p>
            <w:pPr>
              <w:jc w:val="left"/>
            </w:pPr>
            <w:r>
              <w:rPr>
                <w:rFonts w:ascii="Calibri" w:hAnsi="Calibri"/>
                <w:color w:val="212529"/>
                <w:sz w:val="20"/>
              </w:rPr>
              <w:t>Kalapahar invasion (1568); deities secretly relocated to Chilika islands (Gurubai, Marada) multiple times to evade desecration. Ramachandra Deva I of Khurda re-consecrated the deities (Dutiya Indradyumna).</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Maratha Administration</w:t>
            </w:r>
          </w:p>
        </w:tc>
        <w:tc>
          <w:tcPr>
            <w:tcW w:type="dxa" w:w="1728"/>
            <w:shd w:fill="F9F6F0"/>
            <w:tcMar>
              <w:top w:w="100" w:type="dxa"/>
              <w:bottom w:w="100" w:type="dxa"/>
              <w:left w:w="140" w:type="dxa"/>
              <w:right w:w="140" w:type="dxa"/>
            </w:tcMar>
          </w:tcPr>
          <w:p>
            <w:pPr>
              <w:jc w:val="left"/>
            </w:pPr>
            <w:r>
              <w:rPr>
                <w:rFonts w:ascii="Calibri" w:hAnsi="Calibri"/>
                <w:color w:val="212529"/>
                <w:sz w:val="20"/>
              </w:rPr>
              <w:t>1751 – 1803 CE</w:t>
            </w:r>
          </w:p>
        </w:tc>
        <w:tc>
          <w:tcPr>
            <w:tcW w:type="dxa" w:w="5616"/>
            <w:shd w:fill="F9F6F0"/>
            <w:tcMar>
              <w:top w:w="100" w:type="dxa"/>
              <w:bottom w:w="100" w:type="dxa"/>
              <w:left w:w="140" w:type="dxa"/>
              <w:right w:w="140" w:type="dxa"/>
            </w:tcMar>
          </w:tcPr>
          <w:p>
            <w:pPr>
              <w:jc w:val="left"/>
            </w:pPr>
            <w:r>
              <w:rPr>
                <w:rFonts w:ascii="Calibri" w:hAnsi="Calibri"/>
                <w:color w:val="212529"/>
                <w:sz w:val="20"/>
              </w:rPr>
              <w:t>Marathas established rigorous administrative endowments, built mathas, repaired temple gates, and regularized pilgrim security across the Jagannath Sadak.</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Colonial British Period</w:t>
            </w:r>
          </w:p>
        </w:tc>
        <w:tc>
          <w:tcPr>
            <w:tcW w:type="dxa" w:w="1728"/>
            <w:shd w:fill="FFFFFF"/>
            <w:tcMar>
              <w:top w:w="100" w:type="dxa"/>
              <w:bottom w:w="100" w:type="dxa"/>
              <w:left w:w="140" w:type="dxa"/>
              <w:right w:w="140" w:type="dxa"/>
            </w:tcMar>
          </w:tcPr>
          <w:p>
            <w:pPr>
              <w:jc w:val="left"/>
            </w:pPr>
            <w:r>
              <w:rPr>
                <w:rFonts w:ascii="Calibri" w:hAnsi="Calibri"/>
                <w:color w:val="212529"/>
                <w:sz w:val="20"/>
              </w:rPr>
              <w:t>1803 – 1947 CE</w:t>
            </w:r>
          </w:p>
        </w:tc>
        <w:tc>
          <w:tcPr>
            <w:tcW w:type="dxa" w:w="5616"/>
            <w:shd w:fill="FFFFFF"/>
            <w:tcMar>
              <w:top w:w="100" w:type="dxa"/>
              <w:bottom w:w="100" w:type="dxa"/>
              <w:left w:w="140" w:type="dxa"/>
              <w:right w:w="140" w:type="dxa"/>
            </w:tcMar>
          </w:tcPr>
          <w:p>
            <w:pPr>
              <w:jc w:val="left"/>
            </w:pPr>
            <w:r>
              <w:rPr>
                <w:rFonts w:ascii="Calibri" w:hAnsi="Calibri"/>
                <w:color w:val="212529"/>
                <w:sz w:val="20"/>
              </w:rPr>
              <w:t>British East India Company seized Puri in 1803; passed Regulation IV of 1806 (Pilgrim Tax). Transferred direct temple management back to the Raja of Khurda in 1840. Railway line reached Puri in 1900.</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Post-Independence &amp; Modernity</w:t>
            </w:r>
          </w:p>
        </w:tc>
        <w:tc>
          <w:tcPr>
            <w:tcW w:type="dxa" w:w="1728"/>
            <w:shd w:fill="F9F6F0"/>
            <w:tcMar>
              <w:top w:w="100" w:type="dxa"/>
              <w:bottom w:w="100" w:type="dxa"/>
              <w:left w:w="140" w:type="dxa"/>
              <w:right w:w="140" w:type="dxa"/>
            </w:tcMar>
          </w:tcPr>
          <w:p>
            <w:pPr>
              <w:jc w:val="left"/>
            </w:pPr>
            <w:r>
              <w:rPr>
                <w:rFonts w:ascii="Calibri" w:hAnsi="Calibri"/>
                <w:color w:val="212529"/>
                <w:sz w:val="20"/>
              </w:rPr>
              <w:t>1947 – Present</w:t>
            </w:r>
          </w:p>
        </w:tc>
        <w:tc>
          <w:tcPr>
            <w:tcW w:type="dxa" w:w="5616"/>
            <w:shd w:fill="F9F6F0"/>
            <w:tcMar>
              <w:top w:w="100" w:type="dxa"/>
              <w:bottom w:w="100" w:type="dxa"/>
              <w:left w:w="140" w:type="dxa"/>
              <w:right w:w="140" w:type="dxa"/>
            </w:tcMar>
          </w:tcPr>
          <w:p>
            <w:pPr>
              <w:jc w:val="left"/>
            </w:pPr>
            <w:r>
              <w:rPr>
                <w:rFonts w:ascii="Calibri" w:hAnsi="Calibri"/>
                <w:color w:val="212529"/>
                <w:sz w:val="20"/>
              </w:rPr>
              <w:t>Passage of the Shri Jagannath Temple Act, 1955 (SJTA established). Conservation overseen by ASI; transformation into global cultural and beach tourism center.</w:t>
            </w:r>
          </w:p>
        </w:tc>
      </w:tr>
    </w:tbl>
    <w:p>
      <w:pPr>
        <w:spacing w:after="120"/>
      </w:pPr>
    </w:p>
    <w:p>
      <w:pPr>
        <w:keepNext/>
        <w:spacing w:before="320" w:after="120"/>
      </w:pPr>
      <w:r>
        <w:rPr>
          <w:rFonts w:ascii="Georgia" w:hAnsi="Georgia"/>
          <w:b/>
          <w:color w:val="8B1E0F"/>
          <w:sz w:val="30"/>
        </w:rPr>
        <w:t>3. The Concept of Gajapati Rulers as 'Adya Sevaka'</w:t>
      </w:r>
    </w:p>
    <w:p>
      <w:pPr>
        <w:spacing w:after="120" w:line="276" w:lineRule="auto"/>
      </w:pPr>
      <w:r>
        <w:rPr>
          <w:rFonts w:ascii="Calibri" w:hAnsi="Calibri"/>
          <w:i w:val="0"/>
          <w:color w:val="212529"/>
          <w:sz w:val="22"/>
        </w:rPr>
        <w:t>A defining feature of Puri's medieval statecraft was the theological surrender of royal sovereignty to the deity. Initiated by Anangabhima Deva III in the early 13th century, the emperor declared Lord Jagannath as the supreme 'Rastra-devata' (King of the realm), designating himself merely as His regent or deputy (Rauta). This structural ideology was fiercely maintained by the Suryavamsi Gajapatis:</w:t>
      </w:r>
    </w:p>
    <w:p>
      <w:pPr>
        <w:pStyle w:val="ListBullet"/>
        <w:spacing w:after="60" w:line="276" w:lineRule="auto"/>
      </w:pPr>
      <w:r>
        <w:rPr>
          <w:rFonts w:ascii="Calibri" w:hAnsi="Calibri"/>
          <w:b/>
          <w:color w:val="2C3E50"/>
          <w:sz w:val="22"/>
        </w:rPr>
        <w:t xml:space="preserve">• </w:t>
      </w:r>
      <w:r>
        <w:rPr>
          <w:rFonts w:ascii="Calibri" w:hAnsi="Calibri"/>
          <w:color w:val="212529"/>
          <w:sz w:val="22"/>
        </w:rPr>
        <w:t>Chhera Pahara: During the annual Rath Yatra, the reigning Gajapati King sweeps the floors of the three chariots with a gold-handled broom, demonstrating humility and absolute submission before the divine, regardless of political stature.</w:t>
      </w:r>
    </w:p>
    <w:p>
      <w:pPr>
        <w:pStyle w:val="ListBullet"/>
        <w:spacing w:after="60" w:line="276" w:lineRule="auto"/>
      </w:pPr>
      <w:r>
        <w:rPr>
          <w:rFonts w:ascii="Calibri" w:hAnsi="Calibri"/>
          <w:b/>
          <w:color w:val="2C3E50"/>
          <w:sz w:val="22"/>
        </w:rPr>
        <w:t xml:space="preserve">• </w:t>
      </w:r>
      <w:r>
        <w:rPr>
          <w:rFonts w:ascii="Calibri" w:hAnsi="Calibri"/>
          <w:color w:val="212529"/>
          <w:sz w:val="22"/>
        </w:rPr>
        <w:t>Madala Panji Chronicles: The temple's palm-leaf chronicle records royal accessions, temple gifts, invasions, and ritual infractions from medieval times to the present.</w:t>
      </w:r>
    </w:p>
    <w:p>
      <w:pPr>
        <w:keepNext/>
        <w:spacing w:before="320" w:after="120"/>
      </w:pPr>
      <w:r>
        <w:rPr>
          <w:rFonts w:ascii="Georgia" w:hAnsi="Georgia"/>
          <w:b/>
          <w:color w:val="8B1E0F"/>
          <w:sz w:val="30"/>
        </w:rPr>
        <w:t>4. Periods of Crisis: Deity Concealment and Resistance</w:t>
      </w:r>
    </w:p>
    <w:p>
      <w:pPr>
        <w:spacing w:after="120" w:line="276" w:lineRule="auto"/>
      </w:pPr>
      <w:r>
        <w:rPr>
          <w:rFonts w:ascii="Calibri" w:hAnsi="Calibri"/>
          <w:i w:val="0"/>
          <w:color w:val="212529"/>
          <w:sz w:val="22"/>
        </w:rPr>
        <w:t>Between the 16th and 18th centuries, during aggressive incursions by Bengal Sultanate commanders (notably Kalapahar in 1568) and Mughal subahdars (such as Hashim Khan and Taqi Khan), the servitors demonstrated remarkable loyalty. The sacred wooden deities were secretly evacuated and hidden in remote locations across coastal and riverine Odisha:</w:t>
      </w:r>
    </w:p>
    <w:p>
      <w:pPr>
        <w:pStyle w:val="ListBullet"/>
        <w:spacing w:after="60" w:line="276" w:lineRule="auto"/>
      </w:pPr>
      <w:r>
        <w:rPr>
          <w:rFonts w:ascii="Calibri" w:hAnsi="Calibri"/>
          <w:b/>
          <w:color w:val="2C3E50"/>
          <w:sz w:val="22"/>
        </w:rPr>
        <w:t xml:space="preserve">1. </w:t>
      </w:r>
      <w:r>
        <w:rPr>
          <w:rFonts w:ascii="Calibri" w:hAnsi="Calibri"/>
          <w:color w:val="212529"/>
          <w:sz w:val="22"/>
        </w:rPr>
        <w:t>Marada Temple (Ganjam): Known as 'Chhada Deula' where deities were sheltered undisturbed for over 28 months.</w:t>
      </w:r>
    </w:p>
    <w:p>
      <w:pPr>
        <w:pStyle w:val="ListBullet"/>
        <w:spacing w:after="60" w:line="276" w:lineRule="auto"/>
      </w:pPr>
      <w:r>
        <w:rPr>
          <w:rFonts w:ascii="Calibri" w:hAnsi="Calibri"/>
          <w:b/>
          <w:color w:val="2C3E50"/>
          <w:sz w:val="22"/>
        </w:rPr>
        <w:t xml:space="preserve">2. </w:t>
      </w:r>
      <w:r>
        <w:rPr>
          <w:rFonts w:ascii="Calibri" w:hAnsi="Calibri"/>
          <w:color w:val="212529"/>
          <w:sz w:val="22"/>
        </w:rPr>
        <w:t>Chilika Islands (Gurubai &amp; Chakanasi): Hidden in secluded brackish inlets.</w:t>
      </w:r>
    </w:p>
    <w:p>
      <w:pPr>
        <w:pStyle w:val="ListBullet"/>
        <w:spacing w:after="60" w:line="276" w:lineRule="auto"/>
      </w:pPr>
      <w:r>
        <w:rPr>
          <w:rFonts w:ascii="Calibri" w:hAnsi="Calibri"/>
          <w:b/>
          <w:color w:val="2C3E50"/>
          <w:sz w:val="22"/>
        </w:rPr>
        <w:t xml:space="preserve">3. </w:t>
      </w:r>
      <w:r>
        <w:rPr>
          <w:rFonts w:ascii="Calibri" w:hAnsi="Calibri"/>
          <w:color w:val="212529"/>
          <w:sz w:val="22"/>
        </w:rPr>
        <w:t>Tikali &amp; Mandarani: Remote forest zones where daily nitis were maintained in secret.</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PUR-S008</w:t>
            </w:r>
          </w:p>
        </w:tc>
        <w:tc>
          <w:tcPr>
            <w:tcW w:type="dxa" w:w="2016"/>
            <w:shd w:fill="FFFFFF"/>
            <w:tcMar>
              <w:top w:w="100" w:type="dxa"/>
              <w:bottom w:w="100" w:type="dxa"/>
              <w:left w:w="140" w:type="dxa"/>
              <w:right w:w="140" w:type="dxa"/>
            </w:tcMar>
          </w:tcPr>
          <w:p>
            <w:pPr>
              <w:jc w:val="left"/>
            </w:pPr>
            <w:r>
              <w:rPr>
                <w:rFonts w:ascii="Calibri" w:hAnsi="Calibri"/>
                <w:color w:val="212529"/>
                <w:sz w:val="20"/>
              </w:rPr>
              <w:t>Oxford University Press / Heidelberg University</w:t>
            </w:r>
          </w:p>
        </w:tc>
        <w:tc>
          <w:tcPr>
            <w:tcW w:type="dxa" w:w="3024"/>
            <w:shd w:fill="FFFFFF"/>
            <w:tcMar>
              <w:top w:w="100" w:type="dxa"/>
              <w:bottom w:w="100" w:type="dxa"/>
              <w:left w:w="140" w:type="dxa"/>
              <w:right w:w="140" w:type="dxa"/>
            </w:tcMar>
          </w:tcPr>
          <w:p>
            <w:pPr>
              <w:jc w:val="left"/>
            </w:pPr>
            <w:r>
              <w:rPr>
                <w:rFonts w:ascii="Calibri" w:hAnsi="Calibri"/>
                <w:color w:val="212529"/>
                <w:sz w:val="20"/>
              </w:rPr>
              <w:t>The Cult of Jagannath and the Regional Tradition of Orissa (Orissa Research Project)</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Monograph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https://doi.org/10.1093/oso/9780195610819.001.0001</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PUR-S009</w:t>
            </w:r>
          </w:p>
        </w:tc>
        <w:tc>
          <w:tcPr>
            <w:tcW w:type="dxa" w:w="2016"/>
            <w:shd w:fill="F9F6F0"/>
            <w:tcMar>
              <w:top w:w="100" w:type="dxa"/>
              <w:bottom w:w="100" w:type="dxa"/>
              <w:left w:w="140" w:type="dxa"/>
              <w:right w:w="140" w:type="dxa"/>
            </w:tcMar>
          </w:tcPr>
          <w:p>
            <w:pPr>
              <w:jc w:val="left"/>
            </w:pPr>
            <w:r>
              <w:rPr>
                <w:rFonts w:ascii="Calibri" w:hAnsi="Calibri"/>
                <w:color w:val="212529"/>
                <w:sz w:val="20"/>
              </w:rPr>
              <w:t>Kitab Mahal</w:t>
            </w:r>
          </w:p>
        </w:tc>
        <w:tc>
          <w:tcPr>
            <w:tcW w:type="dxa" w:w="3024"/>
            <w:shd w:fill="F9F6F0"/>
            <w:tcMar>
              <w:top w:w="100" w:type="dxa"/>
              <w:bottom w:w="100" w:type="dxa"/>
              <w:left w:w="140" w:type="dxa"/>
              <w:right w:w="140" w:type="dxa"/>
            </w:tcMar>
          </w:tcPr>
          <w:p>
            <w:pPr>
              <w:jc w:val="left"/>
            </w:pPr>
            <w:r>
              <w:rPr>
                <w:rFonts w:ascii="Calibri" w:hAnsi="Calibri"/>
                <w:color w:val="212529"/>
                <w:sz w:val="20"/>
              </w:rPr>
              <w:t>History of Orissa (Hindu Period): Political, Dynastic and Cultural Archaeology</w:t>
            </w:r>
          </w:p>
        </w:tc>
        <w:tc>
          <w:tcPr>
            <w:tcW w:type="dxa" w:w="1584"/>
            <w:shd w:fill="F9F6F0"/>
            <w:tcMar>
              <w:top w:w="100" w:type="dxa"/>
              <w:bottom w:w="100" w:type="dxa"/>
              <w:left w:w="140" w:type="dxa"/>
              <w:right w:w="140" w:type="dxa"/>
            </w:tcMar>
          </w:tcPr>
          <w:p>
            <w:pPr>
              <w:jc w:val="left"/>
            </w:pPr>
            <w:r>
              <w:rPr>
                <w:rFonts w:ascii="Calibri" w:hAnsi="Calibri"/>
                <w:color w:val="212529"/>
                <w:sz w:val="20"/>
              </w:rPr>
              <w:t>Academic Textbook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https://archive.org/details/historyoforissapanigrahi</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PUR-S015</w:t>
            </w:r>
          </w:p>
        </w:tc>
        <w:tc>
          <w:tcPr>
            <w:tcW w:type="dxa" w:w="2016"/>
            <w:shd w:fill="FFFFFF"/>
            <w:tcMar>
              <w:top w:w="100" w:type="dxa"/>
              <w:bottom w:w="100" w:type="dxa"/>
              <w:left w:w="140" w:type="dxa"/>
              <w:right w:w="140" w:type="dxa"/>
            </w:tcMar>
          </w:tcPr>
          <w:p>
            <w:pPr>
              <w:jc w:val="left"/>
            </w:pPr>
            <w:r>
              <w:rPr>
                <w:rFonts w:ascii="Calibri" w:hAnsi="Calibri"/>
                <w:color w:val="212529"/>
                <w:sz w:val="20"/>
              </w:rPr>
              <w:t>Bengal Secretariat Press</w:t>
            </w:r>
          </w:p>
        </w:tc>
        <w:tc>
          <w:tcPr>
            <w:tcW w:type="dxa" w:w="3024"/>
            <w:shd w:fill="FFFFFF"/>
            <w:tcMar>
              <w:top w:w="100" w:type="dxa"/>
              <w:bottom w:w="100" w:type="dxa"/>
              <w:left w:w="140" w:type="dxa"/>
              <w:right w:w="140" w:type="dxa"/>
            </w:tcMar>
          </w:tcPr>
          <w:p>
            <w:pPr>
              <w:jc w:val="left"/>
            </w:pPr>
            <w:r>
              <w:rPr>
                <w:rFonts w:ascii="Calibri" w:hAnsi="Calibri"/>
                <w:color w:val="212529"/>
                <w:sz w:val="20"/>
              </w:rPr>
              <w:t>Orissa: Or the Vicissitudes of an Indian Province under Native and British Rule (Vol I &amp; II)</w:t>
            </w:r>
          </w:p>
        </w:tc>
        <w:tc>
          <w:tcPr>
            <w:tcW w:type="dxa" w:w="1584"/>
            <w:shd w:fill="FFFFFF"/>
            <w:tcMar>
              <w:top w:w="100" w:type="dxa"/>
              <w:bottom w:w="100" w:type="dxa"/>
              <w:left w:w="140" w:type="dxa"/>
              <w:right w:w="140" w:type="dxa"/>
            </w:tcMar>
          </w:tcPr>
          <w:p>
            <w:pPr>
              <w:jc w:val="left"/>
            </w:pPr>
            <w:r>
              <w:rPr>
                <w:rFonts w:ascii="Calibri" w:hAnsi="Calibri"/>
                <w:color w:val="212529"/>
                <w:sz w:val="20"/>
              </w:rPr>
              <w:t>Colonial Historical Record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https://archive.org/details/orissaorvicissi00huntgoog</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PUR-S016</w:t>
            </w:r>
          </w:p>
        </w:tc>
        <w:tc>
          <w:tcPr>
            <w:tcW w:type="dxa" w:w="2016"/>
            <w:shd w:fill="F9F6F0"/>
            <w:tcMar>
              <w:top w:w="100" w:type="dxa"/>
              <w:bottom w:w="100" w:type="dxa"/>
              <w:left w:w="140" w:type="dxa"/>
              <w:right w:w="140" w:type="dxa"/>
            </w:tcMar>
          </w:tcPr>
          <w:p>
            <w:pPr>
              <w:jc w:val="left"/>
            </w:pPr>
            <w:r>
              <w:rPr>
                <w:rFonts w:ascii="Calibri" w:hAnsi="Calibri"/>
                <w:color w:val="212529"/>
                <w:sz w:val="20"/>
              </w:rPr>
              <w:t>Epigraphia Indica</w:t>
            </w:r>
          </w:p>
        </w:tc>
        <w:tc>
          <w:tcPr>
            <w:tcW w:type="dxa" w:w="3024"/>
            <w:shd w:fill="F9F6F0"/>
            <w:tcMar>
              <w:top w:w="100" w:type="dxa"/>
              <w:bottom w:w="100" w:type="dxa"/>
              <w:left w:w="140" w:type="dxa"/>
              <w:right w:w="140" w:type="dxa"/>
            </w:tcMar>
          </w:tcPr>
          <w:p>
            <w:pPr>
              <w:jc w:val="left"/>
            </w:pPr>
            <w:r>
              <w:rPr>
                <w:rFonts w:ascii="Calibri" w:hAnsi="Calibri"/>
                <w:color w:val="212529"/>
                <w:sz w:val="20"/>
              </w:rPr>
              <w:t>Inscriptions of the Eastern Gangas: Chodaganga Deva &amp; Anangabhima Deva Copper Plates</w:t>
            </w:r>
          </w:p>
        </w:tc>
        <w:tc>
          <w:tcPr>
            <w:tcW w:type="dxa" w:w="1584"/>
            <w:shd w:fill="F9F6F0"/>
            <w:tcMar>
              <w:top w:w="100" w:type="dxa"/>
              <w:bottom w:w="100" w:type="dxa"/>
              <w:left w:w="140" w:type="dxa"/>
              <w:right w:w="140" w:type="dxa"/>
            </w:tcMar>
          </w:tcPr>
          <w:p>
            <w:pPr>
              <w:jc w:val="left"/>
            </w:pPr>
            <w:r>
              <w:rPr>
                <w:rFonts w:ascii="Calibri" w:hAnsi="Calibri"/>
                <w:color w:val="212529"/>
                <w:sz w:val="20"/>
              </w:rPr>
              <w:t>Epigraphic Corpus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https://asi.nic.in/epigraphia-indica</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PUR-S017</w:t>
            </w:r>
          </w:p>
        </w:tc>
        <w:tc>
          <w:tcPr>
            <w:tcW w:type="dxa" w:w="2016"/>
            <w:shd w:fill="FFFFFF"/>
            <w:tcMar>
              <w:top w:w="100" w:type="dxa"/>
              <w:bottom w:w="100" w:type="dxa"/>
              <w:left w:w="140" w:type="dxa"/>
              <w:right w:w="140" w:type="dxa"/>
            </w:tcMar>
          </w:tcPr>
          <w:p>
            <w:pPr>
              <w:jc w:val="left"/>
            </w:pPr>
            <w:r>
              <w:rPr>
                <w:rFonts w:ascii="Calibri" w:hAnsi="Calibri"/>
                <w:color w:val="212529"/>
                <w:sz w:val="20"/>
              </w:rPr>
              <w:t>Utkal University Research Journal</w:t>
            </w:r>
          </w:p>
        </w:tc>
        <w:tc>
          <w:tcPr>
            <w:tcW w:type="dxa" w:w="3024"/>
            <w:shd w:fill="FFFFFF"/>
            <w:tcMar>
              <w:top w:w="100" w:type="dxa"/>
              <w:bottom w:w="100" w:type="dxa"/>
              <w:left w:w="140" w:type="dxa"/>
              <w:right w:w="140" w:type="dxa"/>
            </w:tcMar>
          </w:tcPr>
          <w:p>
            <w:pPr>
              <w:jc w:val="left"/>
            </w:pPr>
            <w:r>
              <w:rPr>
                <w:rFonts w:ascii="Calibri" w:hAnsi="Calibri"/>
                <w:color w:val="212529"/>
                <w:sz w:val="20"/>
              </w:rPr>
              <w:t>Gajapati Kings of Orissa and the Feudal Structure of Shree Purushottama Kshetra</w:t>
            </w:r>
          </w:p>
        </w:tc>
        <w:tc>
          <w:tcPr>
            <w:tcW w:type="dxa" w:w="1584"/>
            <w:shd w:fill="FFFFFF"/>
            <w:tcMar>
              <w:top w:w="100" w:type="dxa"/>
              <w:bottom w:w="100" w:type="dxa"/>
              <w:left w:w="140" w:type="dxa"/>
              <w:right w:w="140" w:type="dxa"/>
            </w:tcMar>
          </w:tcPr>
          <w:p>
            <w:pPr>
              <w:jc w:val="left"/>
            </w:pPr>
            <w:r>
              <w:rPr>
                <w:rFonts w:ascii="Calibri" w:hAnsi="Calibri"/>
                <w:color w:val="212529"/>
                <w:sz w:val="20"/>
              </w:rPr>
              <w:t>Academic Journal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https://utkaluniversity.ac.in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PUR-S019</w:t>
            </w:r>
          </w:p>
        </w:tc>
        <w:tc>
          <w:tcPr>
            <w:tcW w:type="dxa" w:w="2016"/>
            <w:shd w:fill="F9F6F0"/>
            <w:tcMar>
              <w:top w:w="100" w:type="dxa"/>
              <w:bottom w:w="100" w:type="dxa"/>
              <w:left w:w="140" w:type="dxa"/>
              <w:right w:w="140" w:type="dxa"/>
            </w:tcMar>
          </w:tcPr>
          <w:p>
            <w:pPr>
              <w:jc w:val="left"/>
            </w:pPr>
            <w:r>
              <w:rPr>
                <w:rFonts w:ascii="Calibri" w:hAnsi="Calibri"/>
                <w:color w:val="212529"/>
                <w:sz w:val="20"/>
              </w:rPr>
              <w:t>Madala Panji Archive</w:t>
            </w:r>
          </w:p>
        </w:tc>
        <w:tc>
          <w:tcPr>
            <w:tcW w:type="dxa" w:w="3024"/>
            <w:shd w:fill="F9F6F0"/>
            <w:tcMar>
              <w:top w:w="100" w:type="dxa"/>
              <w:bottom w:w="100" w:type="dxa"/>
              <w:left w:w="140" w:type="dxa"/>
              <w:right w:w="140" w:type="dxa"/>
            </w:tcMar>
          </w:tcPr>
          <w:p>
            <w:pPr>
              <w:jc w:val="left"/>
            </w:pPr>
            <w:r>
              <w:rPr>
                <w:rFonts w:ascii="Calibri" w:hAnsi="Calibri"/>
                <w:color w:val="212529"/>
                <w:sz w:val="20"/>
              </w:rPr>
              <w:t>Madala Panji: The Temple Chronicle of Shree Jagannath Temple of Puri</w:t>
            </w:r>
          </w:p>
        </w:tc>
        <w:tc>
          <w:tcPr>
            <w:tcW w:type="dxa" w:w="1584"/>
            <w:shd w:fill="F9F6F0"/>
            <w:tcMar>
              <w:top w:w="100" w:type="dxa"/>
              <w:bottom w:w="100" w:type="dxa"/>
              <w:left w:w="140" w:type="dxa"/>
              <w:right w:w="140" w:type="dxa"/>
            </w:tcMar>
          </w:tcPr>
          <w:p>
            <w:pPr>
              <w:jc w:val="left"/>
            </w:pPr>
            <w:r>
              <w:rPr>
                <w:rFonts w:ascii="Calibri" w:hAnsi="Calibri"/>
                <w:color w:val="212529"/>
                <w:sz w:val="20"/>
              </w:rPr>
              <w:t>Traditional Chronicle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https://orissaculture.gov.in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HISTORICAL CHRONOLOGY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