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04 • RELIGIOUS &amp; SPIRITUAL HERITAGE</w:t>
              <w:br/>
            </w:r>
            <w:r>
              <w:rPr>
                <w:rFonts w:ascii="Georgia" w:hAnsi="Georgia"/>
                <w:b/>
                <w:color w:val="FFFFFF"/>
                <w:sz w:val="36"/>
              </w:rPr>
              <w:t>Religious &amp; Spiritual Heritage of Puri: The Syncretic Mahapitha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Char Dham Paradigm &amp; Sacred Geography</w:t>
      </w:r>
    </w:p>
    <w:p>
      <w:pPr>
        <w:spacing w:after="120" w:line="276" w:lineRule="auto"/>
      </w:pPr>
      <w:r>
        <w:rPr>
          <w:rFonts w:ascii="Calibri" w:hAnsi="Calibri"/>
          <w:i w:val="0"/>
          <w:color w:val="212529"/>
          <w:sz w:val="22"/>
        </w:rPr>
        <w:t>In classical Sanatana Dharma cosmology, Puri occupies a preeminent position as the Eastern cardinal quadrant of the all-India Char Dham circuit (alongside Badrinath in the North, Rameswaram in the South, and Dwarka in the West). Adi Shankaracharya in the 8th–9th century CE consecrated this spatial geometry by establishing the Govardhan Math at Puri, assigning it custody over the Rigveda and the Mahavakya 'Prajnanam Brahma'.</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Sacred Dimension</w:t>
            </w:r>
          </w:p>
        </w:tc>
        <w:tc>
          <w:tcPr>
            <w:tcW w:type="dxa" w:w="2880"/>
            <w:shd w:fill="8B1E0F"/>
            <w:tcMar>
              <w:top w:w="120" w:type="dxa"/>
              <w:bottom w:w="120" w:type="dxa"/>
              <w:left w:w="140" w:type="dxa"/>
              <w:right w:w="140" w:type="dxa"/>
            </w:tcMar>
          </w:tcPr>
          <w:p>
            <w:pPr>
              <w:jc w:val="left"/>
            </w:pPr>
            <w:r>
              <w:rPr>
                <w:rFonts w:ascii="Calibri" w:hAnsi="Calibri"/>
                <w:b/>
                <w:color w:val="FFFFFF"/>
                <w:sz w:val="20"/>
              </w:rPr>
              <w:t>Theological Alignment</w:t>
            </w:r>
          </w:p>
        </w:tc>
        <w:tc>
          <w:tcPr>
            <w:tcW w:type="dxa" w:w="4320"/>
            <w:shd w:fill="8B1E0F"/>
            <w:tcMar>
              <w:top w:w="120" w:type="dxa"/>
              <w:bottom w:w="120" w:type="dxa"/>
              <w:left w:w="140" w:type="dxa"/>
              <w:right w:w="140" w:type="dxa"/>
            </w:tcMar>
          </w:tcPr>
          <w:p>
            <w:pPr>
              <w:jc w:val="left"/>
            </w:pPr>
            <w:r>
              <w:rPr>
                <w:rFonts w:ascii="Calibri" w:hAnsi="Calibri"/>
                <w:b/>
                <w:color w:val="FFFFFF"/>
                <w:sz w:val="20"/>
              </w:rPr>
              <w:t>Ritual / Institutional Manifestation</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Char Dham Eastern Gate</w:t>
            </w:r>
          </w:p>
        </w:tc>
        <w:tc>
          <w:tcPr>
            <w:tcW w:type="dxa" w:w="2880"/>
            <w:shd w:fill="FFFFFF"/>
            <w:tcMar>
              <w:top w:w="100" w:type="dxa"/>
              <w:bottom w:w="100" w:type="dxa"/>
              <w:left w:w="140" w:type="dxa"/>
              <w:right w:w="140" w:type="dxa"/>
            </w:tcMar>
          </w:tcPr>
          <w:p>
            <w:pPr>
              <w:jc w:val="left"/>
            </w:pPr>
            <w:r>
              <w:rPr>
                <w:rFonts w:ascii="Calibri" w:hAnsi="Calibri"/>
                <w:color w:val="212529"/>
                <w:sz w:val="20"/>
              </w:rPr>
              <w:t>Bhogakshetra (Abode of Divine Dining)</w:t>
            </w:r>
          </w:p>
        </w:tc>
        <w:tc>
          <w:tcPr>
            <w:tcW w:type="dxa" w:w="4320"/>
            <w:shd w:fill="FFFFFF"/>
            <w:tcMar>
              <w:top w:w="100" w:type="dxa"/>
              <w:bottom w:w="100" w:type="dxa"/>
              <w:left w:w="140" w:type="dxa"/>
              <w:right w:w="140" w:type="dxa"/>
            </w:tcMar>
          </w:tcPr>
          <w:p>
            <w:pPr>
              <w:jc w:val="left"/>
            </w:pPr>
            <w:r>
              <w:rPr>
                <w:rFonts w:ascii="Calibri" w:hAnsi="Calibri"/>
                <w:color w:val="212529"/>
                <w:sz w:val="20"/>
              </w:rPr>
              <w:t>Tradition holds Vishnu bathes at Rameswaram, meditates at Badrinath, rules at Dwarka, and eats at Puri (Mahaprasad).</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Shakta Peetha Tradition</w:t>
            </w:r>
          </w:p>
        </w:tc>
        <w:tc>
          <w:tcPr>
            <w:tcW w:type="dxa" w:w="2880"/>
            <w:shd w:fill="F9F6F0"/>
            <w:tcMar>
              <w:top w:w="100" w:type="dxa"/>
              <w:bottom w:w="100" w:type="dxa"/>
              <w:left w:w="140" w:type="dxa"/>
              <w:right w:w="140" w:type="dxa"/>
            </w:tcMar>
          </w:tcPr>
          <w:p>
            <w:pPr>
              <w:jc w:val="left"/>
            </w:pPr>
            <w:r>
              <w:rPr>
                <w:rFonts w:ascii="Calibri" w:hAnsi="Calibri"/>
                <w:color w:val="212529"/>
                <w:sz w:val="20"/>
              </w:rPr>
              <w:t>Vimala Temple (Ugra Tara / Bhairavi)</w:t>
            </w:r>
          </w:p>
        </w:tc>
        <w:tc>
          <w:tcPr>
            <w:tcW w:type="dxa" w:w="4320"/>
            <w:shd w:fill="F9F6F0"/>
            <w:tcMar>
              <w:top w:w="100" w:type="dxa"/>
              <w:bottom w:w="100" w:type="dxa"/>
              <w:left w:w="140" w:type="dxa"/>
              <w:right w:w="140" w:type="dxa"/>
            </w:tcMar>
          </w:tcPr>
          <w:p>
            <w:pPr>
              <w:jc w:val="left"/>
            </w:pPr>
            <w:r>
              <w:rPr>
                <w:rFonts w:ascii="Calibri" w:hAnsi="Calibri"/>
                <w:color w:val="212529"/>
                <w:sz w:val="20"/>
              </w:rPr>
              <w:t>Recognized in Tantric texts as an Uddiyana/Utkala Shakta Peetha; offerings become Mahaprasad only after consecration to Goddess Vimala.</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Shaivite Guardianship</w:t>
            </w:r>
          </w:p>
        </w:tc>
        <w:tc>
          <w:tcPr>
            <w:tcW w:type="dxa" w:w="2880"/>
            <w:shd w:fill="FFFFFF"/>
            <w:tcMar>
              <w:top w:w="100" w:type="dxa"/>
              <w:bottom w:w="100" w:type="dxa"/>
              <w:left w:w="140" w:type="dxa"/>
              <w:right w:w="140" w:type="dxa"/>
            </w:tcMar>
          </w:tcPr>
          <w:p>
            <w:pPr>
              <w:jc w:val="left"/>
            </w:pPr>
            <w:r>
              <w:rPr>
                <w:rFonts w:ascii="Calibri" w:hAnsi="Calibri"/>
                <w:color w:val="212529"/>
                <w:sz w:val="20"/>
              </w:rPr>
              <w:t>Ashta Sambhu (Eight Shiva Temples)</w:t>
            </w:r>
          </w:p>
        </w:tc>
        <w:tc>
          <w:tcPr>
            <w:tcW w:type="dxa" w:w="4320"/>
            <w:shd w:fill="FFFFFF"/>
            <w:tcMar>
              <w:top w:w="100" w:type="dxa"/>
              <w:bottom w:w="100" w:type="dxa"/>
              <w:left w:w="140" w:type="dxa"/>
              <w:right w:w="140" w:type="dxa"/>
            </w:tcMar>
          </w:tcPr>
          <w:p>
            <w:pPr>
              <w:jc w:val="left"/>
            </w:pPr>
            <w:r>
              <w:rPr>
                <w:rFonts w:ascii="Calibri" w:hAnsi="Calibri"/>
                <w:color w:val="212529"/>
                <w:sz w:val="20"/>
              </w:rPr>
              <w:t>Lokanath, Markandeshwar, Jameswar, Kapalmochan, Nilakantha, Yameshwar, Beleswar, and Isaneswar encircle the Kshetra.</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Vaishnava Synthesis</w:t>
            </w:r>
          </w:p>
        </w:tc>
        <w:tc>
          <w:tcPr>
            <w:tcW w:type="dxa" w:w="2880"/>
            <w:shd w:fill="F9F6F0"/>
            <w:tcMar>
              <w:top w:w="100" w:type="dxa"/>
              <w:bottom w:w="100" w:type="dxa"/>
              <w:left w:w="140" w:type="dxa"/>
              <w:right w:w="140" w:type="dxa"/>
            </w:tcMar>
          </w:tcPr>
          <w:p>
            <w:pPr>
              <w:jc w:val="left"/>
            </w:pPr>
            <w:r>
              <w:rPr>
                <w:rFonts w:ascii="Calibri" w:hAnsi="Calibri"/>
                <w:color w:val="212529"/>
                <w:sz w:val="20"/>
              </w:rPr>
              <w:t>Pancha Shakha &amp; Gaudiya lineages</w:t>
            </w:r>
          </w:p>
        </w:tc>
        <w:tc>
          <w:tcPr>
            <w:tcW w:type="dxa" w:w="4320"/>
            <w:shd w:fill="F9F6F0"/>
            <w:tcMar>
              <w:top w:w="100" w:type="dxa"/>
              <w:bottom w:w="100" w:type="dxa"/>
              <w:left w:w="140" w:type="dxa"/>
              <w:right w:w="140" w:type="dxa"/>
            </w:tcMar>
          </w:tcPr>
          <w:p>
            <w:pPr>
              <w:jc w:val="left"/>
            </w:pPr>
            <w:r>
              <w:rPr>
                <w:rFonts w:ascii="Calibri" w:hAnsi="Calibri"/>
                <w:color w:val="212529"/>
                <w:sz w:val="20"/>
              </w:rPr>
              <w:t>Integration of Ramanuja's Sri Sampradaya (Emara Matha), Madhva, Nimbarka, Vallabha, and Chaitanya's Gaudiya ecstatic kirtan.</w:t>
            </w:r>
          </w:p>
        </w:tc>
      </w:tr>
    </w:tbl>
    <w:p>
      <w:pPr>
        <w:spacing w:after="120"/>
      </w:pPr>
    </w:p>
    <w:p>
      <w:pPr>
        <w:keepNext/>
        <w:spacing w:before="320" w:after="120"/>
      </w:pPr>
      <w:r>
        <w:rPr>
          <w:rFonts w:ascii="Georgia" w:hAnsi="Georgia"/>
          <w:b/>
          <w:color w:val="8B1E0F"/>
          <w:sz w:val="30"/>
        </w:rPr>
        <w:t>2. Syncretic Integration: Vedic, Tribal, Shakta, and Buddhist Strands</w:t>
      </w:r>
    </w:p>
    <w:p>
      <w:pPr>
        <w:spacing w:after="120" w:line="276" w:lineRule="auto"/>
      </w:pPr>
      <w:r>
        <w:rPr>
          <w:rFonts w:ascii="Calibri" w:hAnsi="Calibri"/>
          <w:i w:val="0"/>
          <w:color w:val="212529"/>
          <w:sz w:val="22"/>
        </w:rPr>
        <w:t>Puri's religious fabric is defined by profound syncretism, reconciling divergent philosophical traditions into a harmonious whole:</w:t>
      </w:r>
    </w:p>
    <w:p>
      <w:pPr>
        <w:pStyle w:val="ListBullet"/>
        <w:spacing w:after="60" w:line="276" w:lineRule="auto"/>
      </w:pPr>
      <w:r>
        <w:rPr>
          <w:rFonts w:ascii="Calibri" w:hAnsi="Calibri"/>
          <w:b/>
          <w:color w:val="2C3E50"/>
          <w:sz w:val="22"/>
        </w:rPr>
        <w:t xml:space="preserve">• </w:t>
      </w:r>
      <w:r>
        <w:rPr>
          <w:rFonts w:ascii="Calibri" w:hAnsi="Calibri"/>
          <w:color w:val="212529"/>
          <w:sz w:val="22"/>
        </w:rPr>
        <w:t>Sabara Tribal Heritage: The non-Brahmin Daitapati servitors, claiming descent from the Sabara chieftain Viswavasu, perform intimate body rituals (Angaraga), secret medicinal convalescence (Anavasara), and the burial and reconstitution of the divine bodies during Nabakalebara.</w:t>
      </w:r>
    </w:p>
    <w:p>
      <w:pPr>
        <w:pStyle w:val="ListBullet"/>
        <w:spacing w:after="60" w:line="276" w:lineRule="auto"/>
      </w:pPr>
      <w:r>
        <w:rPr>
          <w:rFonts w:ascii="Calibri" w:hAnsi="Calibri"/>
          <w:b/>
          <w:color w:val="2C3E50"/>
          <w:sz w:val="22"/>
        </w:rPr>
        <w:t xml:space="preserve">• </w:t>
      </w:r>
      <w:r>
        <w:rPr>
          <w:rFonts w:ascii="Calibri" w:hAnsi="Calibri"/>
          <w:color w:val="212529"/>
          <w:sz w:val="22"/>
        </w:rPr>
        <w:t>Tantric-Shakta Substratum: The installation of Yantras beneath the Ratnavedi and the worship of Subhadra as Bhuvaneshwari or Katyayani reflect deep Tantric foundations.</w:t>
      </w:r>
    </w:p>
    <w:p>
      <w:pPr>
        <w:pStyle w:val="ListBullet"/>
        <w:spacing w:after="60" w:line="276" w:lineRule="auto"/>
      </w:pPr>
      <w:r>
        <w:rPr>
          <w:rFonts w:ascii="Calibri" w:hAnsi="Calibri"/>
          <w:b/>
          <w:color w:val="2C3E50"/>
          <w:sz w:val="22"/>
        </w:rPr>
        <w:t xml:space="preserve">• </w:t>
      </w:r>
      <w:r>
        <w:rPr>
          <w:rFonts w:ascii="Calibri" w:hAnsi="Calibri"/>
          <w:color w:val="212529"/>
          <w:sz w:val="22"/>
        </w:rPr>
        <w:t>Scholarly Buddhist Hypotheses: 19th and early 20th-century scholars (Rajendralala Mitra, Swami Vivekananda) hypothesized connections between the Triad (Jagannath, Balabhadra, Subhadra) and the Buddhist Triratna (Buddha, Dharma, Sangha), though modern epigraphy interprets Jagannath firmly within archaic tribal-Vaishnava syncretism.</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[RELIGIOUS PHILOSOPHY]  </w:t>
            </w:r>
            <w:r>
              <w:rPr>
                <w:rFonts w:ascii="Calibri" w:hAnsi="Calibri"/>
                <w:b/>
                <w:color w:val="B87333"/>
                <w:sz w:val="18"/>
              </w:rPr>
              <w:t xml:space="preserve">[CONFIDENCE: HIGH]  </w:t>
            </w:r>
            <w:r>
              <w:rPr>
                <w:rFonts w:ascii="Georgia" w:hAnsi="Georgia"/>
                <w:b/>
                <w:color w:val="2C3E50"/>
                <w:sz w:val="22"/>
              </w:rPr>
              <w:t>Theology of Non-Sectarian Divine Accessibility</w:t>
              <w:br/>
            </w:r>
          </w:p>
          <w:p>
            <w:pPr>
              <w:spacing w:after="0" w:line="276" w:lineRule="auto"/>
            </w:pPr>
            <w:r>
              <w:rPr>
                <w:rFonts w:ascii="Calibri" w:hAnsi="Calibri"/>
                <w:color w:val="212529"/>
                <w:sz w:val="21"/>
              </w:rPr>
              <w:t>Unlike strict sectarian orthodoxies, Jagannath is conceived as 'Patitapabana' (The Redeemer of the Fallen). On the Ratnavedi he is inaccessible to outcastes and non-Hindus, but during Rath Yatra he steps out onto the Grand Road, making himself accessible to all humanity regardless of caste, creed, or nationality.</w:t>
            </w:r>
          </w:p>
        </w:tc>
      </w:tr>
    </w:tbl>
    <w:p>
      <w:pPr>
        <w:spacing w:after="8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PUR-S010</w:t>
            </w:r>
          </w:p>
        </w:tc>
        <w:tc>
          <w:tcPr>
            <w:tcW w:type="dxa" w:w="2016"/>
            <w:shd w:fill="F9F6F0"/>
            <w:tcMar>
              <w:top w:w="100" w:type="dxa"/>
              <w:bottom w:w="100" w:type="dxa"/>
              <w:left w:w="140" w:type="dxa"/>
              <w:right w:w="140" w:type="dxa"/>
            </w:tcMar>
          </w:tcPr>
          <w:p>
            <w:pPr>
              <w:jc w:val="left"/>
            </w:pPr>
            <w:r>
              <w:rPr>
                <w:rFonts w:ascii="Calibri" w:hAnsi="Calibri"/>
                <w:color w:val="212529"/>
                <w:sz w:val="20"/>
              </w:rPr>
              <w:t>Prajnatirtha / Utkal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Daru Brahma: An Anthropological Study of the Tribal Origins of Jagannath Cult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PUR-S018</w:t>
            </w:r>
          </w:p>
        </w:tc>
        <w:tc>
          <w:tcPr>
            <w:tcW w:type="dxa" w:w="2016"/>
            <w:shd w:fill="FFFFFF"/>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FFFFF"/>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FFFFF"/>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https://gaudiyamission.org</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RELIGIOUS &amp; SPIRITUAL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