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07 • FESTIVALS &amp; CEREMONIAL HERITAGE</w:t>
              <w:br/>
            </w:r>
            <w:r>
              <w:rPr>
                <w:rFonts w:ascii="Georgia" w:hAnsi="Georgia"/>
                <w:b/>
                <w:color w:val="FFFFFF"/>
                <w:sz w:val="36"/>
              </w:rPr>
              <w:t>Festivals &amp; Ceremonial Calendar of Puri (The Dwadasa Yatras)</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Principle of Continuous Divine Festivity (Dwadasa Yatra)</w:t>
      </w:r>
    </w:p>
    <w:p>
      <w:pPr>
        <w:spacing w:after="120" w:line="276" w:lineRule="auto"/>
      </w:pPr>
      <w:r>
        <w:rPr>
          <w:rFonts w:ascii="Calibri" w:hAnsi="Calibri"/>
          <w:i w:val="0"/>
          <w:color w:val="212529"/>
          <w:sz w:val="22"/>
        </w:rPr>
        <w:t>In Puri, the calendar is marked by twelve grand classical festivals (Dwadasa Yatra) along with dozens of seasonal, puranic, and agricultural celebrations that engage every tier of the urban populace and sevayat hierarchy. The cycle aligns strictly with the Odia lunisolar calendar:</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304"/>
            <w:shd w:fill="8B1E0F"/>
            <w:tcMar>
              <w:top w:w="120" w:type="dxa"/>
              <w:bottom w:w="120" w:type="dxa"/>
              <w:left w:w="140" w:type="dxa"/>
              <w:right w:w="140" w:type="dxa"/>
            </w:tcMar>
          </w:tcPr>
          <w:p>
            <w:pPr>
              <w:jc w:val="left"/>
            </w:pPr>
            <w:r>
              <w:rPr>
                <w:rFonts w:ascii="Calibri" w:hAnsi="Calibri"/>
                <w:b/>
                <w:color w:val="FFFFFF"/>
                <w:sz w:val="20"/>
              </w:rPr>
              <w:t>Festival Name (Odia)</w:t>
            </w:r>
          </w:p>
        </w:tc>
        <w:tc>
          <w:tcPr>
            <w:tcW w:type="dxa" w:w="2592"/>
            <w:shd w:fill="8B1E0F"/>
            <w:tcMar>
              <w:top w:w="120" w:type="dxa"/>
              <w:bottom w:w="120" w:type="dxa"/>
              <w:left w:w="140" w:type="dxa"/>
              <w:right w:w="140" w:type="dxa"/>
            </w:tcMar>
          </w:tcPr>
          <w:p>
            <w:pPr>
              <w:jc w:val="left"/>
            </w:pPr>
            <w:r>
              <w:rPr>
                <w:rFonts w:ascii="Calibri" w:hAnsi="Calibri"/>
                <w:b/>
                <w:color w:val="FFFFFF"/>
                <w:sz w:val="20"/>
              </w:rPr>
              <w:t>Lunar Month &amp; Tithi</w:t>
            </w:r>
          </w:p>
        </w:tc>
        <w:tc>
          <w:tcPr>
            <w:tcW w:type="dxa" w:w="4464"/>
            <w:shd w:fill="8B1E0F"/>
            <w:tcMar>
              <w:top w:w="120" w:type="dxa"/>
              <w:bottom w:w="120" w:type="dxa"/>
              <w:left w:w="140" w:type="dxa"/>
              <w:right w:w="140" w:type="dxa"/>
            </w:tcMar>
          </w:tcPr>
          <w:p>
            <w:pPr>
              <w:jc w:val="left"/>
            </w:pPr>
            <w:r>
              <w:rPr>
                <w:rFonts w:ascii="Calibri" w:hAnsi="Calibri"/>
                <w:b/>
                <w:color w:val="FFFFFF"/>
                <w:sz w:val="20"/>
              </w:rPr>
              <w:t>Ritual Essence &amp; Public Observance</w:t>
            </w:r>
          </w:p>
        </w:tc>
      </w:tr>
      <w:tr>
        <w:tc>
          <w:tcPr>
            <w:tcW w:type="dxa" w:w="2304"/>
            <w:shd w:fill="FFFFFF"/>
            <w:tcMar>
              <w:top w:w="100" w:type="dxa"/>
              <w:bottom w:w="100" w:type="dxa"/>
              <w:left w:w="140" w:type="dxa"/>
              <w:right w:w="140" w:type="dxa"/>
            </w:tcMar>
          </w:tcPr>
          <w:p>
            <w:pPr>
              <w:jc w:val="left"/>
            </w:pPr>
            <w:r>
              <w:rPr>
                <w:rFonts w:ascii="Calibri" w:hAnsi="Calibri"/>
                <w:color w:val="212529"/>
                <w:sz w:val="20"/>
              </w:rPr>
              <w:t>Chandan Yatra (ଚନ୍ଦନ ଯାତ୍ରା)</w:t>
            </w:r>
          </w:p>
        </w:tc>
        <w:tc>
          <w:tcPr>
            <w:tcW w:type="dxa" w:w="2592"/>
            <w:shd w:fill="FFFFFF"/>
            <w:tcMar>
              <w:top w:w="100" w:type="dxa"/>
              <w:bottom w:w="100" w:type="dxa"/>
              <w:left w:w="140" w:type="dxa"/>
              <w:right w:w="140" w:type="dxa"/>
            </w:tcMar>
          </w:tcPr>
          <w:p>
            <w:pPr>
              <w:jc w:val="left"/>
            </w:pPr>
            <w:r>
              <w:rPr>
                <w:rFonts w:ascii="Calibri" w:hAnsi="Calibri"/>
                <w:color w:val="212529"/>
                <w:sz w:val="20"/>
              </w:rPr>
              <w:t>Akshaya Tritiya (Vaisakha) - 42 Days</w:t>
            </w:r>
          </w:p>
        </w:tc>
        <w:tc>
          <w:tcPr>
            <w:tcW w:type="dxa" w:w="4464"/>
            <w:shd w:fill="FFFFFF"/>
            <w:tcMar>
              <w:top w:w="100" w:type="dxa"/>
              <w:bottom w:w="100" w:type="dxa"/>
              <w:left w:w="140" w:type="dxa"/>
              <w:right w:w="140" w:type="dxa"/>
            </w:tcMar>
          </w:tcPr>
          <w:p>
            <w:pPr>
              <w:jc w:val="left"/>
            </w:pPr>
            <w:r>
              <w:rPr>
                <w:rFonts w:ascii="Calibri" w:hAnsi="Calibri"/>
                <w:color w:val="212529"/>
                <w:sz w:val="20"/>
              </w:rPr>
              <w:t>Longest festival; deities cruise on sacred barges at Narendra Pokhari; begins chariot construction.</w:t>
            </w:r>
          </w:p>
        </w:tc>
      </w:tr>
      <w:tr>
        <w:tc>
          <w:tcPr>
            <w:tcW w:type="dxa" w:w="2304"/>
            <w:shd w:fill="F9F6F0"/>
            <w:tcMar>
              <w:top w:w="100" w:type="dxa"/>
              <w:bottom w:w="100" w:type="dxa"/>
              <w:left w:w="140" w:type="dxa"/>
              <w:right w:w="140" w:type="dxa"/>
            </w:tcMar>
          </w:tcPr>
          <w:p>
            <w:pPr>
              <w:jc w:val="left"/>
            </w:pPr>
            <w:r>
              <w:rPr>
                <w:rFonts w:ascii="Calibri" w:hAnsi="Calibri"/>
                <w:color w:val="212529"/>
                <w:sz w:val="20"/>
              </w:rPr>
              <w:t>Snana Yatra (ସ୍ନାନ ଯାତ୍ରା)</w:t>
            </w:r>
          </w:p>
        </w:tc>
        <w:tc>
          <w:tcPr>
            <w:tcW w:type="dxa" w:w="2592"/>
            <w:shd w:fill="F9F6F0"/>
            <w:tcMar>
              <w:top w:w="100" w:type="dxa"/>
              <w:bottom w:w="100" w:type="dxa"/>
              <w:left w:w="140" w:type="dxa"/>
              <w:right w:w="140" w:type="dxa"/>
            </w:tcMar>
          </w:tcPr>
          <w:p>
            <w:pPr>
              <w:jc w:val="left"/>
            </w:pPr>
            <w:r>
              <w:rPr>
                <w:rFonts w:ascii="Calibri" w:hAnsi="Calibri"/>
                <w:color w:val="212529"/>
                <w:sz w:val="20"/>
              </w:rPr>
              <w:t>Jyeshtha Purnima (May-June)</w:t>
            </w:r>
          </w:p>
        </w:tc>
        <w:tc>
          <w:tcPr>
            <w:tcW w:type="dxa" w:w="4464"/>
            <w:shd w:fill="F9F6F0"/>
            <w:tcMar>
              <w:top w:w="100" w:type="dxa"/>
              <w:bottom w:w="100" w:type="dxa"/>
              <w:left w:w="140" w:type="dxa"/>
              <w:right w:w="140" w:type="dxa"/>
            </w:tcMar>
          </w:tcPr>
          <w:p>
            <w:pPr>
              <w:jc w:val="left"/>
            </w:pPr>
            <w:r>
              <w:rPr>
                <w:rFonts w:ascii="Calibri" w:hAnsi="Calibri"/>
                <w:color w:val="212529"/>
                <w:sz w:val="20"/>
              </w:rPr>
              <w:t>Deities bathed with 108 pots of herbal water; Gajanana Besha (elephant attire); enters Anavasara seclusion.</w:t>
            </w:r>
          </w:p>
        </w:tc>
      </w:tr>
      <w:tr>
        <w:tc>
          <w:tcPr>
            <w:tcW w:type="dxa" w:w="2304"/>
            <w:shd w:fill="FFFFFF"/>
            <w:tcMar>
              <w:top w:w="100" w:type="dxa"/>
              <w:bottom w:w="100" w:type="dxa"/>
              <w:left w:w="140" w:type="dxa"/>
              <w:right w:w="140" w:type="dxa"/>
            </w:tcMar>
          </w:tcPr>
          <w:p>
            <w:pPr>
              <w:jc w:val="left"/>
            </w:pPr>
            <w:r>
              <w:rPr>
                <w:rFonts w:ascii="Calibri" w:hAnsi="Calibri"/>
                <w:color w:val="212529"/>
                <w:sz w:val="20"/>
              </w:rPr>
              <w:t>Rath Yatra (ରଥଯାତ୍ରା)</w:t>
            </w:r>
          </w:p>
        </w:tc>
        <w:tc>
          <w:tcPr>
            <w:tcW w:type="dxa" w:w="2592"/>
            <w:shd w:fill="FFFFFF"/>
            <w:tcMar>
              <w:top w:w="100" w:type="dxa"/>
              <w:bottom w:w="100" w:type="dxa"/>
              <w:left w:w="140" w:type="dxa"/>
              <w:right w:w="140" w:type="dxa"/>
            </w:tcMar>
          </w:tcPr>
          <w:p>
            <w:pPr>
              <w:jc w:val="left"/>
            </w:pPr>
            <w:r>
              <w:rPr>
                <w:rFonts w:ascii="Calibri" w:hAnsi="Calibri"/>
                <w:color w:val="212529"/>
                <w:sz w:val="20"/>
              </w:rPr>
              <w:t>Ashadha Shukla Dwitiya (June-July)</w:t>
            </w:r>
          </w:p>
        </w:tc>
        <w:tc>
          <w:tcPr>
            <w:tcW w:type="dxa" w:w="4464"/>
            <w:shd w:fill="FFFFFF"/>
            <w:tcMar>
              <w:top w:w="100" w:type="dxa"/>
              <w:bottom w:w="100" w:type="dxa"/>
              <w:left w:w="140" w:type="dxa"/>
              <w:right w:w="140" w:type="dxa"/>
            </w:tcMar>
          </w:tcPr>
          <w:p>
            <w:pPr>
              <w:jc w:val="left"/>
            </w:pPr>
            <w:r>
              <w:rPr>
                <w:rFonts w:ascii="Calibri" w:hAnsi="Calibri"/>
                <w:color w:val="212529"/>
                <w:sz w:val="20"/>
              </w:rPr>
              <w:t>Grand chariot procession to Gundicha Temple; 9-day annual journey.</w:t>
            </w:r>
          </w:p>
        </w:tc>
      </w:tr>
      <w:tr>
        <w:tc>
          <w:tcPr>
            <w:tcW w:type="dxa" w:w="2304"/>
            <w:shd w:fill="F9F6F0"/>
            <w:tcMar>
              <w:top w:w="100" w:type="dxa"/>
              <w:bottom w:w="100" w:type="dxa"/>
              <w:left w:w="140" w:type="dxa"/>
              <w:right w:w="140" w:type="dxa"/>
            </w:tcMar>
          </w:tcPr>
          <w:p>
            <w:pPr>
              <w:jc w:val="left"/>
            </w:pPr>
            <w:r>
              <w:rPr>
                <w:rFonts w:ascii="Calibri" w:hAnsi="Calibri"/>
                <w:color w:val="212529"/>
                <w:sz w:val="20"/>
              </w:rPr>
              <w:t>Bahuda Yatra (ବାହୁଡ଼ା ଯାତ୍ରା)</w:t>
            </w:r>
          </w:p>
        </w:tc>
        <w:tc>
          <w:tcPr>
            <w:tcW w:type="dxa" w:w="2592"/>
            <w:shd w:fill="F9F6F0"/>
            <w:tcMar>
              <w:top w:w="100" w:type="dxa"/>
              <w:bottom w:w="100" w:type="dxa"/>
              <w:left w:w="140" w:type="dxa"/>
              <w:right w:w="140" w:type="dxa"/>
            </w:tcMar>
          </w:tcPr>
          <w:p>
            <w:pPr>
              <w:jc w:val="left"/>
            </w:pPr>
            <w:r>
              <w:rPr>
                <w:rFonts w:ascii="Calibri" w:hAnsi="Calibri"/>
                <w:color w:val="212529"/>
                <w:sz w:val="20"/>
              </w:rPr>
              <w:t>Ashadha Shukla Dashami</w:t>
            </w:r>
          </w:p>
        </w:tc>
        <w:tc>
          <w:tcPr>
            <w:tcW w:type="dxa" w:w="4464"/>
            <w:shd w:fill="F9F6F0"/>
            <w:tcMar>
              <w:top w:w="100" w:type="dxa"/>
              <w:bottom w:w="100" w:type="dxa"/>
              <w:left w:w="140" w:type="dxa"/>
              <w:right w:w="140" w:type="dxa"/>
            </w:tcMar>
          </w:tcPr>
          <w:p>
            <w:pPr>
              <w:jc w:val="left"/>
            </w:pPr>
            <w:r>
              <w:rPr>
                <w:rFonts w:ascii="Calibri" w:hAnsi="Calibri"/>
                <w:color w:val="212529"/>
                <w:sz w:val="20"/>
              </w:rPr>
              <w:t>Return journey of the chariots; stops at Mausi Maa temple for Poda Pitha offering.</w:t>
            </w:r>
          </w:p>
        </w:tc>
      </w:tr>
      <w:tr>
        <w:tc>
          <w:tcPr>
            <w:tcW w:type="dxa" w:w="2304"/>
            <w:shd w:fill="FFFFFF"/>
            <w:tcMar>
              <w:top w:w="100" w:type="dxa"/>
              <w:bottom w:w="100" w:type="dxa"/>
              <w:left w:w="140" w:type="dxa"/>
              <w:right w:w="140" w:type="dxa"/>
            </w:tcMar>
          </w:tcPr>
          <w:p>
            <w:pPr>
              <w:jc w:val="left"/>
            </w:pPr>
            <w:r>
              <w:rPr>
                <w:rFonts w:ascii="Calibri" w:hAnsi="Calibri"/>
                <w:color w:val="212529"/>
                <w:sz w:val="20"/>
              </w:rPr>
              <w:t>Suna Besha (ସୁନା ବେଶ)</w:t>
            </w:r>
          </w:p>
        </w:tc>
        <w:tc>
          <w:tcPr>
            <w:tcW w:type="dxa" w:w="2592"/>
            <w:shd w:fill="FFFFFF"/>
            <w:tcMar>
              <w:top w:w="100" w:type="dxa"/>
              <w:bottom w:w="100" w:type="dxa"/>
              <w:left w:w="140" w:type="dxa"/>
              <w:right w:w="140" w:type="dxa"/>
            </w:tcMar>
          </w:tcPr>
          <w:p>
            <w:pPr>
              <w:jc w:val="left"/>
            </w:pPr>
            <w:r>
              <w:rPr>
                <w:rFonts w:ascii="Calibri" w:hAnsi="Calibri"/>
                <w:color w:val="212529"/>
                <w:sz w:val="20"/>
              </w:rPr>
              <w:t>Ashadha Shukla Ekadashi</w:t>
            </w:r>
          </w:p>
        </w:tc>
        <w:tc>
          <w:tcPr>
            <w:tcW w:type="dxa" w:w="4464"/>
            <w:shd w:fill="FFFFFF"/>
            <w:tcMar>
              <w:top w:w="100" w:type="dxa"/>
              <w:bottom w:w="100" w:type="dxa"/>
              <w:left w:w="140" w:type="dxa"/>
              <w:right w:w="140" w:type="dxa"/>
            </w:tcMar>
          </w:tcPr>
          <w:p>
            <w:pPr>
              <w:jc w:val="left"/>
            </w:pPr>
            <w:r>
              <w:rPr>
                <w:rFonts w:ascii="Calibri" w:hAnsi="Calibri"/>
                <w:color w:val="212529"/>
                <w:sz w:val="20"/>
              </w:rPr>
              <w:t>Deities adorned with over 208 kg of solid gold jewelry while resting on their chariots outside Singhadwara.</w:t>
            </w:r>
          </w:p>
        </w:tc>
      </w:tr>
      <w:tr>
        <w:tc>
          <w:tcPr>
            <w:tcW w:type="dxa" w:w="2304"/>
            <w:shd w:fill="F9F6F0"/>
            <w:tcMar>
              <w:top w:w="100" w:type="dxa"/>
              <w:bottom w:w="100" w:type="dxa"/>
              <w:left w:w="140" w:type="dxa"/>
              <w:right w:w="140" w:type="dxa"/>
            </w:tcMar>
          </w:tcPr>
          <w:p>
            <w:pPr>
              <w:jc w:val="left"/>
            </w:pPr>
            <w:r>
              <w:rPr>
                <w:rFonts w:ascii="Calibri" w:hAnsi="Calibri"/>
                <w:color w:val="212529"/>
                <w:sz w:val="20"/>
              </w:rPr>
              <w:t>Niladri Bije (ନୀଳାଦ୍ରି ବିଜେ)</w:t>
            </w:r>
          </w:p>
        </w:tc>
        <w:tc>
          <w:tcPr>
            <w:tcW w:type="dxa" w:w="2592"/>
            <w:shd w:fill="F9F6F0"/>
            <w:tcMar>
              <w:top w:w="100" w:type="dxa"/>
              <w:bottom w:w="100" w:type="dxa"/>
              <w:left w:w="140" w:type="dxa"/>
              <w:right w:w="140" w:type="dxa"/>
            </w:tcMar>
          </w:tcPr>
          <w:p>
            <w:pPr>
              <w:jc w:val="left"/>
            </w:pPr>
            <w:r>
              <w:rPr>
                <w:rFonts w:ascii="Calibri" w:hAnsi="Calibri"/>
                <w:color w:val="212529"/>
                <w:sz w:val="20"/>
              </w:rPr>
              <w:t>Ashadha Trayodashi</w:t>
            </w:r>
          </w:p>
        </w:tc>
        <w:tc>
          <w:tcPr>
            <w:tcW w:type="dxa" w:w="4464"/>
            <w:shd w:fill="F9F6F0"/>
            <w:tcMar>
              <w:top w:w="100" w:type="dxa"/>
              <w:bottom w:w="100" w:type="dxa"/>
              <w:left w:w="140" w:type="dxa"/>
              <w:right w:w="140" w:type="dxa"/>
            </w:tcMar>
          </w:tcPr>
          <w:p>
            <w:pPr>
              <w:jc w:val="left"/>
            </w:pPr>
            <w:r>
              <w:rPr>
                <w:rFonts w:ascii="Calibri" w:hAnsi="Calibri"/>
                <w:color w:val="212529"/>
                <w:sz w:val="20"/>
              </w:rPr>
              <w:t>Return of deities to the Ratnavedi; Lord Jagannath placates Goddess Lakshmi with sweet Rasagola.</w:t>
            </w:r>
          </w:p>
        </w:tc>
      </w:tr>
      <w:tr>
        <w:tc>
          <w:tcPr>
            <w:tcW w:type="dxa" w:w="2304"/>
            <w:shd w:fill="FFFFFF"/>
            <w:tcMar>
              <w:top w:w="100" w:type="dxa"/>
              <w:bottom w:w="100" w:type="dxa"/>
              <w:left w:w="140" w:type="dxa"/>
              <w:right w:w="140" w:type="dxa"/>
            </w:tcMar>
          </w:tcPr>
          <w:p>
            <w:pPr>
              <w:jc w:val="left"/>
            </w:pPr>
            <w:r>
              <w:rPr>
                <w:rFonts w:ascii="Calibri" w:hAnsi="Calibri"/>
                <w:color w:val="212529"/>
                <w:sz w:val="20"/>
              </w:rPr>
              <w:t>Jhulan Yatra (ଝୁଲଣ ଯାତ୍ରା)</w:t>
            </w:r>
          </w:p>
        </w:tc>
        <w:tc>
          <w:tcPr>
            <w:tcW w:type="dxa" w:w="2592"/>
            <w:shd w:fill="FFFFFF"/>
            <w:tcMar>
              <w:top w:w="100" w:type="dxa"/>
              <w:bottom w:w="100" w:type="dxa"/>
              <w:left w:w="140" w:type="dxa"/>
              <w:right w:w="140" w:type="dxa"/>
            </w:tcMar>
          </w:tcPr>
          <w:p>
            <w:pPr>
              <w:jc w:val="left"/>
            </w:pPr>
            <w:r>
              <w:rPr>
                <w:rFonts w:ascii="Calibri" w:hAnsi="Calibri"/>
                <w:color w:val="212529"/>
                <w:sz w:val="20"/>
              </w:rPr>
              <w:t>Shravana Shukla Dashami to Purnima</w:t>
            </w:r>
          </w:p>
        </w:tc>
        <w:tc>
          <w:tcPr>
            <w:tcW w:type="dxa" w:w="4464"/>
            <w:shd w:fill="FFFFFF"/>
            <w:tcMar>
              <w:top w:w="100" w:type="dxa"/>
              <w:bottom w:w="100" w:type="dxa"/>
              <w:left w:w="140" w:type="dxa"/>
              <w:right w:w="140" w:type="dxa"/>
            </w:tcMar>
          </w:tcPr>
          <w:p>
            <w:pPr>
              <w:jc w:val="left"/>
            </w:pPr>
            <w:r>
              <w:rPr>
                <w:rFonts w:ascii="Calibri" w:hAnsi="Calibri"/>
                <w:color w:val="212529"/>
                <w:sz w:val="20"/>
              </w:rPr>
              <w:t>Swing festival celebrated in temple and mathas; elaborate floral swing decorations.</w:t>
            </w:r>
          </w:p>
        </w:tc>
      </w:tr>
      <w:tr>
        <w:tc>
          <w:tcPr>
            <w:tcW w:type="dxa" w:w="2304"/>
            <w:shd w:fill="F9F6F0"/>
            <w:tcMar>
              <w:top w:w="100" w:type="dxa"/>
              <w:bottom w:w="100" w:type="dxa"/>
              <w:left w:w="140" w:type="dxa"/>
              <w:right w:w="140" w:type="dxa"/>
            </w:tcMar>
          </w:tcPr>
          <w:p>
            <w:pPr>
              <w:jc w:val="left"/>
            </w:pPr>
            <w:r>
              <w:rPr>
                <w:rFonts w:ascii="Calibri" w:hAnsi="Calibri"/>
                <w:color w:val="212529"/>
                <w:sz w:val="20"/>
              </w:rPr>
              <w:t>Dola Yatra (ଦୋଳ ଯାତ୍ରା)</w:t>
            </w:r>
          </w:p>
        </w:tc>
        <w:tc>
          <w:tcPr>
            <w:tcW w:type="dxa" w:w="2592"/>
            <w:shd w:fill="F9F6F0"/>
            <w:tcMar>
              <w:top w:w="100" w:type="dxa"/>
              <w:bottom w:w="100" w:type="dxa"/>
              <w:left w:w="140" w:type="dxa"/>
              <w:right w:w="140" w:type="dxa"/>
            </w:tcMar>
          </w:tcPr>
          <w:p>
            <w:pPr>
              <w:jc w:val="left"/>
            </w:pPr>
            <w:r>
              <w:rPr>
                <w:rFonts w:ascii="Calibri" w:hAnsi="Calibri"/>
                <w:color w:val="212529"/>
                <w:sz w:val="20"/>
              </w:rPr>
              <w:t>Phalguna Purnima (Holi)</w:t>
            </w:r>
          </w:p>
        </w:tc>
        <w:tc>
          <w:tcPr>
            <w:tcW w:type="dxa" w:w="4464"/>
            <w:shd w:fill="F9F6F0"/>
            <w:tcMar>
              <w:top w:w="100" w:type="dxa"/>
              <w:bottom w:w="100" w:type="dxa"/>
              <w:left w:w="140" w:type="dxa"/>
              <w:right w:w="140" w:type="dxa"/>
            </w:tcMar>
          </w:tcPr>
          <w:p>
            <w:pPr>
              <w:jc w:val="left"/>
            </w:pPr>
            <w:r>
              <w:rPr>
                <w:rFonts w:ascii="Calibri" w:hAnsi="Calibri"/>
                <w:color w:val="212529"/>
                <w:sz w:val="20"/>
              </w:rPr>
              <w:t>Procession of representative deities with fagu (red natural powder) and royal palanquins.</w:t>
            </w:r>
          </w:p>
        </w:tc>
      </w:tr>
    </w:tbl>
    <w:p>
      <w:pPr>
        <w:spacing w:after="120"/>
      </w:pPr>
    </w:p>
    <w:p>
      <w:pPr>
        <w:keepNext/>
        <w:spacing w:before="320" w:after="120"/>
      </w:pPr>
      <w:r>
        <w:rPr>
          <w:rFonts w:ascii="Georgia" w:hAnsi="Georgia"/>
          <w:b/>
          <w:color w:val="8B1E0F"/>
          <w:sz w:val="30"/>
        </w:rPr>
        <w:t>2. Snana Yatra and the Anavasara Seclusion</w:t>
      </w:r>
    </w:p>
    <w:p>
      <w:pPr>
        <w:spacing w:after="120" w:line="276" w:lineRule="auto"/>
      </w:pPr>
      <w:r>
        <w:rPr>
          <w:rFonts w:ascii="Calibri" w:hAnsi="Calibri"/>
          <w:i w:val="0"/>
          <w:color w:val="212529"/>
          <w:sz w:val="22"/>
        </w:rPr>
        <w:t>On Jyeshtha Purnima, the deities are brought to the elevated Snana Mandapa overlooking the Grand Road. Poured with 108 pitchers of water infused with sandalwood, saffron, and aromatic herbs drawn from the sacred Suna Kua (Golden Well), the deities contract a ritual fever and enter a 15-day total seclusion known as Anavasara:</w:t>
      </w:r>
    </w:p>
    <w:p>
      <w:pPr>
        <w:pStyle w:val="ListBullet"/>
        <w:spacing w:after="60" w:line="276" w:lineRule="auto"/>
      </w:pPr>
      <w:r>
        <w:rPr>
          <w:rFonts w:ascii="Calibri" w:hAnsi="Calibri"/>
          <w:b/>
          <w:color w:val="2C3E50"/>
          <w:sz w:val="22"/>
        </w:rPr>
        <w:t xml:space="preserve">• </w:t>
      </w:r>
      <w:r>
        <w:rPr>
          <w:rFonts w:ascii="Calibri" w:hAnsi="Calibri"/>
          <w:color w:val="212529"/>
          <w:sz w:val="22"/>
        </w:rPr>
        <w:t>Gupta Niti &amp; Secret Treatment: During Anavasara, the sanctum is sealed. The Daitapatis administer medicinal herbal pastes (Phuluri Tela), pure fruits, and roots.</w:t>
      </w:r>
    </w:p>
    <w:p>
      <w:pPr>
        <w:pStyle w:val="ListBullet"/>
        <w:spacing w:after="60" w:line="276" w:lineRule="auto"/>
      </w:pPr>
      <w:r>
        <w:rPr>
          <w:rFonts w:ascii="Calibri" w:hAnsi="Calibri"/>
          <w:b/>
          <w:color w:val="2C3E50"/>
          <w:sz w:val="22"/>
        </w:rPr>
        <w:t xml:space="preserve">• </w:t>
      </w:r>
      <w:r>
        <w:rPr>
          <w:rFonts w:ascii="Calibri" w:hAnsi="Calibri"/>
          <w:color w:val="212529"/>
          <w:sz w:val="22"/>
        </w:rPr>
        <w:t>Anasara Pattachitra: While the deities are secluded, three painted cloth scrolls depicting Ananta Narayana (Jagannath), Ananta Vasudeva (Balabhadra), and Bhubaneswari (Subhadra) are placed in front of the sanctum for devotee darshan.</w:t>
      </w:r>
    </w:p>
    <w:p>
      <w:pPr>
        <w:pStyle w:val="ListBullet"/>
        <w:spacing w:after="60" w:line="276" w:lineRule="auto"/>
      </w:pPr>
      <w:r>
        <w:rPr>
          <w:rFonts w:ascii="Calibri" w:hAnsi="Calibri"/>
          <w:b/>
          <w:color w:val="2C3E50"/>
          <w:sz w:val="22"/>
        </w:rPr>
        <w:t xml:space="preserve">• </w:t>
      </w:r>
      <w:r>
        <w:rPr>
          <w:rFonts w:ascii="Calibri" w:hAnsi="Calibri"/>
          <w:color w:val="212529"/>
          <w:sz w:val="22"/>
        </w:rPr>
        <w:t>Alarnath Pilgrimage: Devotees travel 25 km to Brahmagiri to visit Lord Alarnath, where the deity is believed to manifest the living presence of Jagannath during the seclusion period.</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PUR-S002</w:t>
            </w:r>
          </w:p>
        </w:tc>
        <w:tc>
          <w:tcPr>
            <w:tcW w:type="dxa" w:w="2016"/>
            <w:shd w:fill="FFFFFF"/>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FFFFF"/>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PUR-S003</w:t>
            </w:r>
          </w:p>
        </w:tc>
        <w:tc>
          <w:tcPr>
            <w:tcW w:type="dxa" w:w="2016"/>
            <w:shd w:fill="F9F6F0"/>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9F6F0"/>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PUR-S008</w:t>
            </w:r>
          </w:p>
        </w:tc>
        <w:tc>
          <w:tcPr>
            <w:tcW w:type="dxa" w:w="2016"/>
            <w:shd w:fill="FFFFFF"/>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FFFFF"/>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PUR-S019</w:t>
            </w:r>
          </w:p>
        </w:tc>
        <w:tc>
          <w:tcPr>
            <w:tcW w:type="dxa" w:w="2016"/>
            <w:shd w:fill="F9F6F0"/>
            <w:tcMar>
              <w:top w:w="100" w:type="dxa"/>
              <w:bottom w:w="100" w:type="dxa"/>
              <w:left w:w="140" w:type="dxa"/>
              <w:right w:w="140" w:type="dxa"/>
            </w:tcMar>
          </w:tcPr>
          <w:p>
            <w:pPr>
              <w:jc w:val="left"/>
            </w:pPr>
            <w:r>
              <w:rPr>
                <w:rFonts w:ascii="Calibri" w:hAnsi="Calibri"/>
                <w:color w:val="212529"/>
                <w:sz w:val="20"/>
              </w:rPr>
              <w:t>Madala Panji Archive</w:t>
            </w:r>
          </w:p>
        </w:tc>
        <w:tc>
          <w:tcPr>
            <w:tcW w:type="dxa" w:w="3024"/>
            <w:shd w:fill="F9F6F0"/>
            <w:tcMar>
              <w:top w:w="100" w:type="dxa"/>
              <w:bottom w:w="100" w:type="dxa"/>
              <w:left w:w="140" w:type="dxa"/>
              <w:right w:w="140" w:type="dxa"/>
            </w:tcMar>
          </w:tcPr>
          <w:p>
            <w:pPr>
              <w:jc w:val="left"/>
            </w:pPr>
            <w:r>
              <w:rPr>
                <w:rFonts w:ascii="Calibri" w:hAnsi="Calibri"/>
                <w:color w:val="212529"/>
                <w:sz w:val="20"/>
              </w:rPr>
              <w:t>Madala Panji: The Temple Chronicle of Shree Jagannath Temple of Puri</w:t>
            </w:r>
          </w:p>
        </w:tc>
        <w:tc>
          <w:tcPr>
            <w:tcW w:type="dxa" w:w="1584"/>
            <w:shd w:fill="F9F6F0"/>
            <w:tcMar>
              <w:top w:w="100" w:type="dxa"/>
              <w:bottom w:w="100" w:type="dxa"/>
              <w:left w:w="140" w:type="dxa"/>
              <w:right w:w="140" w:type="dxa"/>
            </w:tcMar>
          </w:tcPr>
          <w:p>
            <w:pPr>
              <w:jc w:val="left"/>
            </w:pPr>
            <w:r>
              <w:rPr>
                <w:rFonts w:ascii="Calibri" w:hAnsi="Calibri"/>
                <w:color w:val="212529"/>
                <w:sz w:val="20"/>
              </w:rPr>
              <w:t>Traditional Chronicle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https://orissaculture.gov.in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FESTIVALS &amp; CEREMONIAL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