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9360"/>
            <w:shd w:fill="8B1E0F"/>
            <w:tcMar>
              <w:top w:w="200" w:type="dxa"/>
              <w:bottom w:w="200" w:type="dxa"/>
              <w:left w:w="240" w:type="dxa"/>
              <w:right w:w="240" w:type="dxa"/>
            </w:tcMar>
          </w:tcPr>
          <w:p>
            <w:pPr>
              <w:spacing w:after="80"/>
              <w:jc w:val="left"/>
            </w:pPr>
            <w:r>
              <w:rPr>
                <w:rFonts w:ascii="Calibri" w:hAnsi="Calibri"/>
                <w:b/>
                <w:color w:val="C58F27"/>
                <w:sz w:val="19"/>
              </w:rPr>
              <w:t>DOCUMENT 08 • RATH YATRA (MAXIMUM DEPTH)</w:t>
              <w:br/>
            </w:r>
            <w:r>
              <w:rPr>
                <w:rFonts w:ascii="Georgia" w:hAnsi="Georgia"/>
                <w:b/>
                <w:color w:val="FFFFFF"/>
                <w:sz w:val="36"/>
              </w:rPr>
              <w:t>Rath Yatra: Comprehensive Architectural, Ritual, &amp; Sociological Research</w:t>
            </w:r>
          </w:p>
          <w:p>
            <w:pPr>
              <w:spacing w:after="0"/>
            </w:pPr>
            <w:r>
              <w:rPr>
                <w:rFonts w:ascii="Calibri" w:hAnsi="Calibri"/>
                <w:i/>
                <w:color w:val="F0E6DC"/>
                <w:sz w:val="20"/>
              </w:rPr>
              <w:t>Puri Cultural Heritage Research Knowledge Base • Odisha, India</w:t>
            </w:r>
          </w:p>
        </w:tc>
      </w:tr>
    </w:tbl>
    <w:p>
      <w:pPr>
        <w:spacing w:after="200"/>
      </w:pPr>
    </w:p>
    <w:p>
      <w:pPr>
        <w:keepNext/>
        <w:spacing w:before="320" w:after="120"/>
      </w:pPr>
      <w:r>
        <w:rPr>
          <w:rFonts w:ascii="Georgia" w:hAnsi="Georgia"/>
          <w:b/>
          <w:color w:val="8B1E0F"/>
          <w:sz w:val="30"/>
        </w:rPr>
        <w:t>1. The Three Sacred Chariots: Architecture &amp; Engineering</w:t>
      </w:r>
    </w:p>
    <w:p>
      <w:pPr>
        <w:spacing w:after="120" w:line="276" w:lineRule="auto"/>
      </w:pPr>
      <w:r>
        <w:rPr>
          <w:rFonts w:ascii="Calibri" w:hAnsi="Calibri"/>
          <w:i w:val="0"/>
          <w:color w:val="212529"/>
          <w:sz w:val="22"/>
        </w:rPr>
        <w:t>The construction of the three massive wooden chariots is an extraordinary architectural tradition revived annually from scratch without blueprints, measuring tapes, or metallic nails. Built using 862 pieces of timber procured from the forests of Dasapalla and Nayagarh, work begins on Akshaya Tritiya by hereditary master craftsmen (Maharanas, Kamaras, and Rupa Karas):</w:t>
      </w:r>
    </w:p>
    <w:tbl>
      <w:tblPr>
        <w:tblW w:type="auto" w:w="0"/>
        <w:jc w:val="center"/>
        <w:tblLayout w:type="fixed"/>
        <w:tblLook w:firstColumn="1" w:firstRow="1" w:lastColumn="0" w:lastRow="0" w:noHBand="0" w:noVBand="1" w:val="04A0"/>
        <w:tblBorders>
          <w:top w:val="single" w:sz="4" w:space="0" w:color="D1C7B7"/>
          <w:bottom w:val="single" w:sz="4" w:space="0" w:color="D1C7B7"/>
          <w:left w:val="none"/>
          <w:right w:val="none"/>
          <w:insideH w:val="single" w:sz="4" w:space="0" w:color="D1C7B7"/>
          <w:insideV w:val="none"/>
        </w:tblBorders>
      </w:tblPr>
      <w:tblGrid>
        <w:gridCol w:w="2340"/>
        <w:gridCol w:w="2340"/>
        <w:gridCol w:w="2340"/>
        <w:gridCol w:w="2340"/>
      </w:tblGrid>
      <w:tr>
        <w:tc>
          <w:tcPr>
            <w:tcW w:type="dxa" w:w="1872"/>
            <w:shd w:fill="8B1E0F"/>
            <w:tcMar>
              <w:top w:w="120" w:type="dxa"/>
              <w:bottom w:w="120" w:type="dxa"/>
              <w:left w:w="140" w:type="dxa"/>
              <w:right w:w="140" w:type="dxa"/>
            </w:tcMar>
          </w:tcPr>
          <w:p>
            <w:pPr>
              <w:jc w:val="left"/>
            </w:pPr>
            <w:r>
              <w:rPr>
                <w:rFonts w:ascii="Calibri" w:hAnsi="Calibri"/>
                <w:b/>
                <w:color w:val="FFFFFF"/>
                <w:sz w:val="20"/>
              </w:rPr>
              <w:t>Feature</w:t>
            </w:r>
          </w:p>
        </w:tc>
        <w:tc>
          <w:tcPr>
            <w:tcW w:type="dxa" w:w="2448"/>
            <w:shd w:fill="8B1E0F"/>
            <w:tcMar>
              <w:top w:w="120" w:type="dxa"/>
              <w:bottom w:w="120" w:type="dxa"/>
              <w:left w:w="140" w:type="dxa"/>
              <w:right w:w="140" w:type="dxa"/>
            </w:tcMar>
          </w:tcPr>
          <w:p>
            <w:pPr>
              <w:jc w:val="left"/>
            </w:pPr>
            <w:r>
              <w:rPr>
                <w:rFonts w:ascii="Calibri" w:hAnsi="Calibri"/>
                <w:b/>
                <w:color w:val="FFFFFF"/>
                <w:sz w:val="20"/>
              </w:rPr>
              <w:t>Nandighosh (Jagannath)</w:t>
            </w:r>
          </w:p>
        </w:tc>
        <w:tc>
          <w:tcPr>
            <w:tcW w:type="dxa" w:w="2448"/>
            <w:shd w:fill="8B1E0F"/>
            <w:tcMar>
              <w:top w:w="120" w:type="dxa"/>
              <w:bottom w:w="120" w:type="dxa"/>
              <w:left w:w="140" w:type="dxa"/>
              <w:right w:w="140" w:type="dxa"/>
            </w:tcMar>
          </w:tcPr>
          <w:p>
            <w:pPr>
              <w:jc w:val="left"/>
            </w:pPr>
            <w:r>
              <w:rPr>
                <w:rFonts w:ascii="Calibri" w:hAnsi="Calibri"/>
                <w:b/>
                <w:color w:val="FFFFFF"/>
                <w:sz w:val="20"/>
              </w:rPr>
              <w:t>Taladhwaja (Balabhadra)</w:t>
            </w:r>
          </w:p>
        </w:tc>
        <w:tc>
          <w:tcPr>
            <w:tcW w:type="dxa" w:w="2592"/>
            <w:shd w:fill="8B1E0F"/>
            <w:tcMar>
              <w:top w:w="120" w:type="dxa"/>
              <w:bottom w:w="120" w:type="dxa"/>
              <w:left w:w="140" w:type="dxa"/>
              <w:right w:w="140" w:type="dxa"/>
            </w:tcMar>
          </w:tcPr>
          <w:p>
            <w:pPr>
              <w:jc w:val="left"/>
            </w:pPr>
            <w:r>
              <w:rPr>
                <w:rFonts w:ascii="Calibri" w:hAnsi="Calibri"/>
                <w:b/>
                <w:color w:val="FFFFFF"/>
                <w:sz w:val="20"/>
              </w:rPr>
              <w:t>Darpadalana (Subhadra)</w:t>
            </w:r>
          </w:p>
        </w:tc>
      </w:tr>
      <w:tr>
        <w:tc>
          <w:tcPr>
            <w:tcW w:type="dxa" w:w="1872"/>
            <w:shd w:fill="FFFFFF"/>
            <w:tcMar>
              <w:top w:w="100" w:type="dxa"/>
              <w:bottom w:w="100" w:type="dxa"/>
              <w:left w:w="140" w:type="dxa"/>
              <w:right w:w="140" w:type="dxa"/>
            </w:tcMar>
          </w:tcPr>
          <w:p>
            <w:pPr>
              <w:jc w:val="left"/>
            </w:pPr>
            <w:r>
              <w:rPr>
                <w:rFonts w:ascii="Calibri" w:hAnsi="Calibri"/>
                <w:color w:val="212529"/>
                <w:sz w:val="20"/>
              </w:rPr>
              <w:t>Total Height</w:t>
            </w:r>
          </w:p>
        </w:tc>
        <w:tc>
          <w:tcPr>
            <w:tcW w:type="dxa" w:w="2448"/>
            <w:shd w:fill="FFFFFF"/>
            <w:tcMar>
              <w:top w:w="100" w:type="dxa"/>
              <w:bottom w:w="100" w:type="dxa"/>
              <w:left w:w="140" w:type="dxa"/>
              <w:right w:w="140" w:type="dxa"/>
            </w:tcMar>
          </w:tcPr>
          <w:p>
            <w:pPr>
              <w:jc w:val="left"/>
            </w:pPr>
            <w:r>
              <w:rPr>
                <w:rFonts w:ascii="Calibri" w:hAnsi="Calibri"/>
                <w:color w:val="212529"/>
                <w:sz w:val="20"/>
              </w:rPr>
              <w:t>45 feet (13.7 m)</w:t>
            </w:r>
          </w:p>
        </w:tc>
        <w:tc>
          <w:tcPr>
            <w:tcW w:type="dxa" w:w="2448"/>
            <w:shd w:fill="FFFFFF"/>
            <w:tcMar>
              <w:top w:w="100" w:type="dxa"/>
              <w:bottom w:w="100" w:type="dxa"/>
              <w:left w:w="140" w:type="dxa"/>
              <w:right w:w="140" w:type="dxa"/>
            </w:tcMar>
          </w:tcPr>
          <w:p>
            <w:pPr>
              <w:jc w:val="left"/>
            </w:pPr>
            <w:r>
              <w:rPr>
                <w:rFonts w:ascii="Calibri" w:hAnsi="Calibri"/>
                <w:color w:val="212529"/>
                <w:sz w:val="20"/>
              </w:rPr>
              <w:t>44 feet (13.4 m)</w:t>
            </w:r>
          </w:p>
        </w:tc>
        <w:tc>
          <w:tcPr>
            <w:tcW w:type="dxa" w:w="2592"/>
            <w:shd w:fill="FFFFFF"/>
            <w:tcMar>
              <w:top w:w="100" w:type="dxa"/>
              <w:bottom w:w="100" w:type="dxa"/>
              <w:left w:w="140" w:type="dxa"/>
              <w:right w:w="140" w:type="dxa"/>
            </w:tcMar>
          </w:tcPr>
          <w:p>
            <w:pPr>
              <w:jc w:val="left"/>
            </w:pPr>
            <w:r>
              <w:rPr>
                <w:rFonts w:ascii="Calibri" w:hAnsi="Calibri"/>
                <w:color w:val="212529"/>
                <w:sz w:val="20"/>
              </w:rPr>
              <w:t>43 feet (13.1 m)</w:t>
            </w:r>
          </w:p>
        </w:tc>
      </w:tr>
      <w:tr>
        <w:tc>
          <w:tcPr>
            <w:tcW w:type="dxa" w:w="1872"/>
            <w:shd w:fill="F9F6F0"/>
            <w:tcMar>
              <w:top w:w="100" w:type="dxa"/>
              <w:bottom w:w="100" w:type="dxa"/>
              <w:left w:w="140" w:type="dxa"/>
              <w:right w:w="140" w:type="dxa"/>
            </w:tcMar>
          </w:tcPr>
          <w:p>
            <w:pPr>
              <w:jc w:val="left"/>
            </w:pPr>
            <w:r>
              <w:rPr>
                <w:rFonts w:ascii="Calibri" w:hAnsi="Calibri"/>
                <w:color w:val="212529"/>
                <w:sz w:val="20"/>
              </w:rPr>
              <w:t>Number of Wheels</w:t>
            </w:r>
          </w:p>
        </w:tc>
        <w:tc>
          <w:tcPr>
            <w:tcW w:type="dxa" w:w="2448"/>
            <w:shd w:fill="F9F6F0"/>
            <w:tcMar>
              <w:top w:w="100" w:type="dxa"/>
              <w:bottom w:w="100" w:type="dxa"/>
              <w:left w:w="140" w:type="dxa"/>
              <w:right w:w="140" w:type="dxa"/>
            </w:tcMar>
          </w:tcPr>
          <w:p>
            <w:pPr>
              <w:jc w:val="left"/>
            </w:pPr>
            <w:r>
              <w:rPr>
                <w:rFonts w:ascii="Calibri" w:hAnsi="Calibri"/>
                <w:color w:val="212529"/>
                <w:sz w:val="20"/>
              </w:rPr>
              <w:t>16 Wheels (diam. ~7 ft)</w:t>
            </w:r>
          </w:p>
        </w:tc>
        <w:tc>
          <w:tcPr>
            <w:tcW w:type="dxa" w:w="2448"/>
            <w:shd w:fill="F9F6F0"/>
            <w:tcMar>
              <w:top w:w="100" w:type="dxa"/>
              <w:bottom w:w="100" w:type="dxa"/>
              <w:left w:w="140" w:type="dxa"/>
              <w:right w:w="140" w:type="dxa"/>
            </w:tcMar>
          </w:tcPr>
          <w:p>
            <w:pPr>
              <w:jc w:val="left"/>
            </w:pPr>
            <w:r>
              <w:rPr>
                <w:rFonts w:ascii="Calibri" w:hAnsi="Calibri"/>
                <w:color w:val="212529"/>
                <w:sz w:val="20"/>
              </w:rPr>
              <w:t>14 Wheels (diam. ~6.5 ft)</w:t>
            </w:r>
          </w:p>
        </w:tc>
        <w:tc>
          <w:tcPr>
            <w:tcW w:type="dxa" w:w="2592"/>
            <w:shd w:fill="F9F6F0"/>
            <w:tcMar>
              <w:top w:w="100" w:type="dxa"/>
              <w:bottom w:w="100" w:type="dxa"/>
              <w:left w:w="140" w:type="dxa"/>
              <w:right w:w="140" w:type="dxa"/>
            </w:tcMar>
          </w:tcPr>
          <w:p>
            <w:pPr>
              <w:jc w:val="left"/>
            </w:pPr>
            <w:r>
              <w:rPr>
                <w:rFonts w:ascii="Calibri" w:hAnsi="Calibri"/>
                <w:color w:val="212529"/>
                <w:sz w:val="20"/>
              </w:rPr>
              <w:t>12 Wheels (diam. ~6 ft)</w:t>
            </w:r>
          </w:p>
        </w:tc>
      </w:tr>
      <w:tr>
        <w:tc>
          <w:tcPr>
            <w:tcW w:type="dxa" w:w="1872"/>
            <w:shd w:fill="FFFFFF"/>
            <w:tcMar>
              <w:top w:w="100" w:type="dxa"/>
              <w:bottom w:w="100" w:type="dxa"/>
              <w:left w:w="140" w:type="dxa"/>
              <w:right w:w="140" w:type="dxa"/>
            </w:tcMar>
          </w:tcPr>
          <w:p>
            <w:pPr>
              <w:jc w:val="left"/>
            </w:pPr>
            <w:r>
              <w:rPr>
                <w:rFonts w:ascii="Calibri" w:hAnsi="Calibri"/>
                <w:color w:val="212529"/>
                <w:sz w:val="20"/>
              </w:rPr>
              <w:t>Canopy Colors</w:t>
            </w:r>
          </w:p>
        </w:tc>
        <w:tc>
          <w:tcPr>
            <w:tcW w:type="dxa" w:w="2448"/>
            <w:shd w:fill="FFFFFF"/>
            <w:tcMar>
              <w:top w:w="100" w:type="dxa"/>
              <w:bottom w:w="100" w:type="dxa"/>
              <w:left w:w="140" w:type="dxa"/>
              <w:right w:w="140" w:type="dxa"/>
            </w:tcMar>
          </w:tcPr>
          <w:p>
            <w:pPr>
              <w:jc w:val="left"/>
            </w:pPr>
            <w:r>
              <w:rPr>
                <w:rFonts w:ascii="Calibri" w:hAnsi="Calibri"/>
                <w:color w:val="212529"/>
                <w:sz w:val="20"/>
              </w:rPr>
              <w:t>Red and Yellow Fabric</w:t>
            </w:r>
          </w:p>
        </w:tc>
        <w:tc>
          <w:tcPr>
            <w:tcW w:type="dxa" w:w="2448"/>
            <w:shd w:fill="FFFFFF"/>
            <w:tcMar>
              <w:top w:w="100" w:type="dxa"/>
              <w:bottom w:w="100" w:type="dxa"/>
              <w:left w:w="140" w:type="dxa"/>
              <w:right w:w="140" w:type="dxa"/>
            </w:tcMar>
          </w:tcPr>
          <w:p>
            <w:pPr>
              <w:jc w:val="left"/>
            </w:pPr>
            <w:r>
              <w:rPr>
                <w:rFonts w:ascii="Calibri" w:hAnsi="Calibri"/>
                <w:color w:val="212529"/>
                <w:sz w:val="20"/>
              </w:rPr>
              <w:t>Red and Bluish-Green Fabric</w:t>
            </w:r>
          </w:p>
        </w:tc>
        <w:tc>
          <w:tcPr>
            <w:tcW w:type="dxa" w:w="2592"/>
            <w:shd w:fill="FFFFFF"/>
            <w:tcMar>
              <w:top w:w="100" w:type="dxa"/>
              <w:bottom w:w="100" w:type="dxa"/>
              <w:left w:w="140" w:type="dxa"/>
              <w:right w:w="140" w:type="dxa"/>
            </w:tcMar>
          </w:tcPr>
          <w:p>
            <w:pPr>
              <w:jc w:val="left"/>
            </w:pPr>
            <w:r>
              <w:rPr>
                <w:rFonts w:ascii="Calibri" w:hAnsi="Calibri"/>
                <w:color w:val="212529"/>
                <w:sz w:val="20"/>
              </w:rPr>
              <w:t>Red and Black Fabric</w:t>
            </w:r>
          </w:p>
        </w:tc>
      </w:tr>
      <w:tr>
        <w:tc>
          <w:tcPr>
            <w:tcW w:type="dxa" w:w="1872"/>
            <w:shd w:fill="F9F6F0"/>
            <w:tcMar>
              <w:top w:w="100" w:type="dxa"/>
              <w:bottom w:w="100" w:type="dxa"/>
              <w:left w:w="140" w:type="dxa"/>
              <w:right w:w="140" w:type="dxa"/>
            </w:tcMar>
          </w:tcPr>
          <w:p>
            <w:pPr>
              <w:jc w:val="left"/>
            </w:pPr>
            <w:r>
              <w:rPr>
                <w:rFonts w:ascii="Calibri" w:hAnsi="Calibri"/>
                <w:color w:val="212529"/>
                <w:sz w:val="20"/>
              </w:rPr>
              <w:t>Guardian Deity (Sarathi)</w:t>
            </w:r>
          </w:p>
        </w:tc>
        <w:tc>
          <w:tcPr>
            <w:tcW w:type="dxa" w:w="2448"/>
            <w:shd w:fill="F9F6F0"/>
            <w:tcMar>
              <w:top w:w="100" w:type="dxa"/>
              <w:bottom w:w="100" w:type="dxa"/>
              <w:left w:w="140" w:type="dxa"/>
              <w:right w:w="140" w:type="dxa"/>
            </w:tcMar>
          </w:tcPr>
          <w:p>
            <w:pPr>
              <w:jc w:val="left"/>
            </w:pPr>
            <w:r>
              <w:rPr>
                <w:rFonts w:ascii="Calibri" w:hAnsi="Calibri"/>
                <w:color w:val="212529"/>
                <w:sz w:val="20"/>
              </w:rPr>
              <w:t>Daruka</w:t>
            </w:r>
          </w:p>
        </w:tc>
        <w:tc>
          <w:tcPr>
            <w:tcW w:type="dxa" w:w="2448"/>
            <w:shd w:fill="F9F6F0"/>
            <w:tcMar>
              <w:top w:w="100" w:type="dxa"/>
              <w:bottom w:w="100" w:type="dxa"/>
              <w:left w:w="140" w:type="dxa"/>
              <w:right w:w="140" w:type="dxa"/>
            </w:tcMar>
          </w:tcPr>
          <w:p>
            <w:pPr>
              <w:jc w:val="left"/>
            </w:pPr>
            <w:r>
              <w:rPr>
                <w:rFonts w:ascii="Calibri" w:hAnsi="Calibri"/>
                <w:color w:val="212529"/>
                <w:sz w:val="20"/>
              </w:rPr>
              <w:t>Matali</w:t>
            </w:r>
          </w:p>
        </w:tc>
        <w:tc>
          <w:tcPr>
            <w:tcW w:type="dxa" w:w="2592"/>
            <w:shd w:fill="F9F6F0"/>
            <w:tcMar>
              <w:top w:w="100" w:type="dxa"/>
              <w:bottom w:w="100" w:type="dxa"/>
              <w:left w:w="140" w:type="dxa"/>
              <w:right w:w="140" w:type="dxa"/>
            </w:tcMar>
          </w:tcPr>
          <w:p>
            <w:pPr>
              <w:jc w:val="left"/>
            </w:pPr>
            <w:r>
              <w:rPr>
                <w:rFonts w:ascii="Calibri" w:hAnsi="Calibri"/>
                <w:color w:val="212529"/>
                <w:sz w:val="20"/>
              </w:rPr>
              <w:t>Arjuna</w:t>
            </w:r>
          </w:p>
        </w:tc>
      </w:tr>
      <w:tr>
        <w:tc>
          <w:tcPr>
            <w:tcW w:type="dxa" w:w="1872"/>
            <w:shd w:fill="FFFFFF"/>
            <w:tcMar>
              <w:top w:w="100" w:type="dxa"/>
              <w:bottom w:w="100" w:type="dxa"/>
              <w:left w:w="140" w:type="dxa"/>
              <w:right w:w="140" w:type="dxa"/>
            </w:tcMar>
          </w:tcPr>
          <w:p>
            <w:pPr>
              <w:jc w:val="left"/>
            </w:pPr>
            <w:r>
              <w:rPr>
                <w:rFonts w:ascii="Calibri" w:hAnsi="Calibri"/>
                <w:color w:val="212529"/>
                <w:sz w:val="20"/>
              </w:rPr>
              <w:t>Horses (Colors)</w:t>
            </w:r>
          </w:p>
        </w:tc>
        <w:tc>
          <w:tcPr>
            <w:tcW w:type="dxa" w:w="2448"/>
            <w:shd w:fill="FFFFFF"/>
            <w:tcMar>
              <w:top w:w="100" w:type="dxa"/>
              <w:bottom w:w="100" w:type="dxa"/>
              <w:left w:w="140" w:type="dxa"/>
              <w:right w:w="140" w:type="dxa"/>
            </w:tcMar>
          </w:tcPr>
          <w:p>
            <w:pPr>
              <w:jc w:val="left"/>
            </w:pPr>
            <w:r>
              <w:rPr>
                <w:rFonts w:ascii="Calibri" w:hAnsi="Calibri"/>
                <w:color w:val="212529"/>
                <w:sz w:val="20"/>
              </w:rPr>
              <w:t>4 White Horses (Sankha, Balahaka, Suweta, Haridashwa)</w:t>
            </w:r>
          </w:p>
        </w:tc>
        <w:tc>
          <w:tcPr>
            <w:tcW w:type="dxa" w:w="2448"/>
            <w:shd w:fill="FFFFFF"/>
            <w:tcMar>
              <w:top w:w="100" w:type="dxa"/>
              <w:bottom w:w="100" w:type="dxa"/>
              <w:left w:w="140" w:type="dxa"/>
              <w:right w:w="140" w:type="dxa"/>
            </w:tcMar>
          </w:tcPr>
          <w:p>
            <w:pPr>
              <w:jc w:val="left"/>
            </w:pPr>
            <w:r>
              <w:rPr>
                <w:rFonts w:ascii="Calibri" w:hAnsi="Calibri"/>
                <w:color w:val="212529"/>
                <w:sz w:val="20"/>
              </w:rPr>
              <w:t>4 Black Horses (Tibra, Ghora, Dirghashrama, Swarnanava)</w:t>
            </w:r>
          </w:p>
        </w:tc>
        <w:tc>
          <w:tcPr>
            <w:tcW w:type="dxa" w:w="2592"/>
            <w:shd w:fill="FFFFFF"/>
            <w:tcMar>
              <w:top w:w="100" w:type="dxa"/>
              <w:bottom w:w="100" w:type="dxa"/>
              <w:left w:w="140" w:type="dxa"/>
              <w:right w:w="140" w:type="dxa"/>
            </w:tcMar>
          </w:tcPr>
          <w:p>
            <w:pPr>
              <w:jc w:val="left"/>
            </w:pPr>
            <w:r>
              <w:rPr>
                <w:rFonts w:ascii="Calibri" w:hAnsi="Calibri"/>
                <w:color w:val="212529"/>
                <w:sz w:val="20"/>
              </w:rPr>
              <w:t>4 Red Horses (Rochika, Mochika, Jita, Aparajita)</w:t>
            </w:r>
          </w:p>
        </w:tc>
      </w:tr>
      <w:tr>
        <w:tc>
          <w:tcPr>
            <w:tcW w:type="dxa" w:w="1872"/>
            <w:shd w:fill="F9F6F0"/>
            <w:tcMar>
              <w:top w:w="100" w:type="dxa"/>
              <w:bottom w:w="100" w:type="dxa"/>
              <w:left w:w="140" w:type="dxa"/>
              <w:right w:w="140" w:type="dxa"/>
            </w:tcMar>
          </w:tcPr>
          <w:p>
            <w:pPr>
              <w:jc w:val="left"/>
            </w:pPr>
            <w:r>
              <w:rPr>
                <w:rFonts w:ascii="Calibri" w:hAnsi="Calibri"/>
                <w:color w:val="212529"/>
                <w:sz w:val="20"/>
              </w:rPr>
              <w:t>Flag / Crest (Dhwaja)</w:t>
            </w:r>
          </w:p>
        </w:tc>
        <w:tc>
          <w:tcPr>
            <w:tcW w:type="dxa" w:w="2448"/>
            <w:shd w:fill="F9F6F0"/>
            <w:tcMar>
              <w:top w:w="100" w:type="dxa"/>
              <w:bottom w:w="100" w:type="dxa"/>
              <w:left w:w="140" w:type="dxa"/>
              <w:right w:w="140" w:type="dxa"/>
            </w:tcMar>
          </w:tcPr>
          <w:p>
            <w:pPr>
              <w:jc w:val="left"/>
            </w:pPr>
            <w:r>
              <w:rPr>
                <w:rFonts w:ascii="Calibri" w:hAnsi="Calibri"/>
                <w:color w:val="212529"/>
                <w:sz w:val="20"/>
              </w:rPr>
              <w:t>Trailokyamohana / Garuda</w:t>
            </w:r>
          </w:p>
        </w:tc>
        <w:tc>
          <w:tcPr>
            <w:tcW w:type="dxa" w:w="2448"/>
            <w:shd w:fill="F9F6F0"/>
            <w:tcMar>
              <w:top w:w="100" w:type="dxa"/>
              <w:bottom w:w="100" w:type="dxa"/>
              <w:left w:w="140" w:type="dxa"/>
              <w:right w:w="140" w:type="dxa"/>
            </w:tcMar>
          </w:tcPr>
          <w:p>
            <w:pPr>
              <w:jc w:val="left"/>
            </w:pPr>
            <w:r>
              <w:rPr>
                <w:rFonts w:ascii="Calibri" w:hAnsi="Calibri"/>
                <w:color w:val="212529"/>
                <w:sz w:val="20"/>
              </w:rPr>
              <w:t>Unnani / Tala (Palm)</w:t>
            </w:r>
          </w:p>
        </w:tc>
        <w:tc>
          <w:tcPr>
            <w:tcW w:type="dxa" w:w="2592"/>
            <w:shd w:fill="F9F6F0"/>
            <w:tcMar>
              <w:top w:w="100" w:type="dxa"/>
              <w:bottom w:w="100" w:type="dxa"/>
              <w:left w:w="140" w:type="dxa"/>
              <w:right w:w="140" w:type="dxa"/>
            </w:tcMar>
          </w:tcPr>
          <w:p>
            <w:pPr>
              <w:jc w:val="left"/>
            </w:pPr>
            <w:r>
              <w:rPr>
                <w:rFonts w:ascii="Calibri" w:hAnsi="Calibri"/>
                <w:color w:val="212529"/>
                <w:sz w:val="20"/>
              </w:rPr>
              <w:t>Nadambika / Padmadhwaja</w:t>
            </w:r>
          </w:p>
        </w:tc>
      </w:tr>
    </w:tbl>
    <w:p>
      <w:pPr>
        <w:spacing w:after="120"/>
      </w:pPr>
    </w:p>
    <w:p>
      <w:pPr>
        <w:keepNext/>
        <w:spacing w:before="320" w:after="120"/>
      </w:pPr>
      <w:r>
        <w:rPr>
          <w:rFonts w:ascii="Georgia" w:hAnsi="Georgia"/>
          <w:b/>
          <w:color w:val="8B1E0F"/>
          <w:sz w:val="30"/>
        </w:rPr>
        <w:t>2. Sequential Ritual Choreography</w:t>
      </w:r>
    </w:p>
    <w:p>
      <w:pPr>
        <w:spacing w:after="120" w:line="276" w:lineRule="auto"/>
      </w:pPr>
      <w:r>
        <w:rPr>
          <w:rFonts w:ascii="Calibri" w:hAnsi="Calibri"/>
          <w:i w:val="0"/>
          <w:color w:val="212529"/>
          <w:sz w:val="22"/>
        </w:rPr>
        <w:t>The Rath Yatra unfolds across tightly regulated ritual stages witnessed by over a million pilgrims:</w:t>
      </w:r>
    </w:p>
    <w:p>
      <w:pPr>
        <w:pStyle w:val="ListBullet"/>
        <w:spacing w:after="60" w:line="276" w:lineRule="auto"/>
      </w:pPr>
      <w:r>
        <w:rPr>
          <w:rFonts w:ascii="Calibri" w:hAnsi="Calibri"/>
          <w:b/>
          <w:color w:val="2C3E50"/>
          <w:sz w:val="22"/>
        </w:rPr>
        <w:t xml:space="preserve">Step 1: </w:t>
      </w:r>
      <w:r>
        <w:rPr>
          <w:rFonts w:ascii="Calibri" w:hAnsi="Calibri"/>
          <w:color w:val="212529"/>
          <w:sz w:val="22"/>
        </w:rPr>
        <w:t>Pahandi Bije: The ecstatic, rhythmic procession where the heavy wooden deities, adorned with elaborate floral tiaras (Tahias), are swayed forward onto the chariots by the Daitapatis to the sound of hundreds of clashing Ghanta (cymbals) and Kahali horns.</w:t>
      </w:r>
    </w:p>
    <w:p>
      <w:pPr>
        <w:pStyle w:val="ListBullet"/>
        <w:spacing w:after="60" w:line="276" w:lineRule="auto"/>
      </w:pPr>
      <w:r>
        <w:rPr>
          <w:rFonts w:ascii="Calibri" w:hAnsi="Calibri"/>
          <w:b/>
          <w:color w:val="2C3E50"/>
          <w:sz w:val="22"/>
        </w:rPr>
        <w:t xml:space="preserve">Step 2: </w:t>
      </w:r>
      <w:r>
        <w:rPr>
          <w:rFonts w:ascii="Calibri" w:hAnsi="Calibri"/>
          <w:color w:val="212529"/>
          <w:sz w:val="22"/>
        </w:rPr>
        <w:t>Chhera Pahara: The reigning Gajapati Maharaja arrives in a silver palanquin, climbs each chariot, sprinkles aromatic water, and sweeps the platform with a gold-handled broom (Khadika), demonstrating absolute humility before the Lord.</w:t>
      </w:r>
    </w:p>
    <w:p>
      <w:pPr>
        <w:pStyle w:val="ListBullet"/>
        <w:spacing w:after="60" w:line="276" w:lineRule="auto"/>
      </w:pPr>
      <w:r>
        <w:rPr>
          <w:rFonts w:ascii="Calibri" w:hAnsi="Calibri"/>
          <w:b/>
          <w:color w:val="2C3E50"/>
          <w:sz w:val="22"/>
        </w:rPr>
        <w:t xml:space="preserve">Step 3: </w:t>
      </w:r>
      <w:r>
        <w:rPr>
          <w:rFonts w:ascii="Calibri" w:hAnsi="Calibri"/>
          <w:color w:val="212529"/>
          <w:sz w:val="22"/>
        </w:rPr>
        <w:t>Ratha Tana (Pulling the Chariots): Lakhs of devotees pull the massive coir ropes (Sankhachuda) along the 2.5 km stretch of Bada Danda to the Gundicha Temple (Yajna Vedi / Janma Janaki).</w:t>
      </w:r>
    </w:p>
    <w:p>
      <w:pPr>
        <w:pStyle w:val="ListBullet"/>
        <w:spacing w:after="60" w:line="276" w:lineRule="auto"/>
      </w:pPr>
      <w:r>
        <w:rPr>
          <w:rFonts w:ascii="Calibri" w:hAnsi="Calibri"/>
          <w:b/>
          <w:color w:val="2C3E50"/>
          <w:sz w:val="22"/>
        </w:rPr>
        <w:t xml:space="preserve">Step 4: </w:t>
      </w:r>
      <w:r>
        <w:rPr>
          <w:rFonts w:ascii="Calibri" w:hAnsi="Calibri"/>
          <w:color w:val="212529"/>
          <w:sz w:val="22"/>
        </w:rPr>
        <w:t>Gundicha Stay &amp; Hera Panchami: The deities reside at Gundicha Temple for 7 days. On the 5th day (Hera Panchami), Goddess Lakshmi arrives in fury, enters the Gundicha temple secretly, and breaks a piece of Jagannath's chariot (Nandighosh) out of jealousy before returning to the main temple.</w:t>
      </w:r>
    </w:p>
    <w:p>
      <w:pPr>
        <w:pStyle w:val="ListBullet"/>
        <w:spacing w:after="60" w:line="276" w:lineRule="auto"/>
      </w:pPr>
      <w:r>
        <w:rPr>
          <w:rFonts w:ascii="Calibri" w:hAnsi="Calibri"/>
          <w:b/>
          <w:color w:val="2C3E50"/>
          <w:sz w:val="22"/>
        </w:rPr>
        <w:t xml:space="preserve">Step 5: </w:t>
      </w:r>
      <w:r>
        <w:rPr>
          <w:rFonts w:ascii="Calibri" w:hAnsi="Calibri"/>
          <w:color w:val="212529"/>
          <w:sz w:val="22"/>
        </w:rPr>
        <w:t>Bahuda Yatra, Suna Besha, &amp; Adhara Pana: Return procession, golden embellishment on Ekadashi, and the offering of large clay pitchers of consecrated milk beverage (Adhara Pana) offered to pacify guardian spirits.</w:t>
      </w:r>
    </w:p>
    <w:p>
      <w:pPr>
        <w:pStyle w:val="ListBullet"/>
        <w:spacing w:after="60" w:line="276" w:lineRule="auto"/>
      </w:pPr>
      <w:r>
        <w:rPr>
          <w:rFonts w:ascii="Calibri" w:hAnsi="Calibri"/>
          <w:b/>
          <w:color w:val="2C3E50"/>
          <w:sz w:val="22"/>
        </w:rPr>
        <w:t xml:space="preserve">Step 6: </w:t>
      </w:r>
      <w:r>
        <w:rPr>
          <w:rFonts w:ascii="Calibri" w:hAnsi="Calibri"/>
          <w:color w:val="212529"/>
          <w:sz w:val="22"/>
        </w:rPr>
        <w:t>Niladri Bije &amp; Rasagola Offering: On Trayodashi, Goddess Lakshmi locks the temple gate in indignation; Lord Jagannath presents her with sweet Rasagolas to appease her before entering the sanctum.</w:t>
      </w:r>
    </w:p>
    <w:tbl>
      <w:tblPr>
        <w:tblW w:type="auto" w:w="0"/>
        <w:jc w:val="center"/>
        <w:tblLayout w:type="fixed"/>
        <w:tblLook w:firstColumn="1" w:firstRow="1" w:lastColumn="0" w:lastRow="0" w:noHBand="0" w:noVBand="1" w:val="04A0"/>
      </w:tblPr>
      <w:tblGrid>
        <w:gridCol w:w="9360"/>
      </w:tblGrid>
      <w:tr>
        <w:tc>
          <w:tcPr>
            <w:tcW w:type="dxa" w:w="9360"/>
            <w:shd w:fill="F7F3E9"/>
            <w:tcMar>
              <w:top w:w="140" w:type="dxa"/>
              <w:bottom w:w="140" w:type="dxa"/>
              <w:left w:w="180" w:type="dxa"/>
              <w:right w:w="180" w:type="dxa"/>
            </w:tcMar>
            <w:tcBorders>
              <w:top w:val="none"/>
              <w:left w:val="single" w:sz="24" w:space="0" w:color="8B1E0F"/>
              <w:bottom w:val="none"/>
              <w:right w:val="none"/>
            </w:tcBorders>
          </w:tcPr>
          <w:p>
            <w:pPr>
              <w:spacing w:after="60"/>
            </w:pPr>
            <w:r>
              <w:rPr>
                <w:rFonts w:ascii="Calibri" w:hAnsi="Calibri"/>
                <w:b/>
                <w:color w:val="8B1E0F"/>
                <w:sz w:val="19"/>
              </w:rPr>
              <w:t xml:space="preserve">[ADMINISTRATIVE &amp; LOGISTICAL RECORD [TIME-SENSITIVE]]  </w:t>
            </w:r>
            <w:r>
              <w:rPr>
                <w:rFonts w:ascii="Calibri" w:hAnsi="Calibri"/>
                <w:b/>
                <w:color w:val="B87333"/>
                <w:sz w:val="18"/>
              </w:rPr>
              <w:t xml:space="preserve">[CONFIDENCE: HIGH]  </w:t>
            </w:r>
            <w:r>
              <w:rPr>
                <w:rFonts w:ascii="Georgia" w:hAnsi="Georgia"/>
                <w:b/>
                <w:color w:val="2C3E50"/>
                <w:sz w:val="22"/>
              </w:rPr>
              <w:t>Crowd Management &amp; Global Impact</w:t>
              <w:br/>
            </w:r>
          </w:p>
          <w:p>
            <w:pPr>
              <w:spacing w:after="0" w:line="276" w:lineRule="auto"/>
            </w:pPr>
            <w:r>
              <w:rPr>
                <w:rFonts w:ascii="Calibri" w:hAnsi="Calibri"/>
                <w:color w:val="212529"/>
                <w:sz w:val="21"/>
              </w:rPr>
              <w:t>Rath Yatra attracts between 1.0 to 1.5 million devotees annually. The Odisha State Police, District Administration, and Indian Railways deploy specialized integrated command control centers (ICCC), AI crowd-density monitoring, and disaster response forces (ODRAF/NDRF) to ensure safe execution along the 3 km Grand Road.</w:t>
            </w:r>
          </w:p>
        </w:tc>
      </w:tr>
    </w:tbl>
    <w:p>
      <w:pPr>
        <w:spacing w:after="80"/>
      </w:pPr>
    </w:p>
    <w:p>
      <w:pPr>
        <w:keepNext/>
        <w:spacing w:before="320" w:after="120"/>
      </w:pPr>
      <w:r>
        <w:rPr>
          <w:rFonts w:ascii="Georgia" w:hAnsi="Georgia"/>
          <w:b/>
          <w:color w:val="8B1E0F"/>
          <w:sz w:val="30"/>
        </w:rPr>
        <w:t>Document References &amp; Sources</w:t>
      </w:r>
    </w:p>
    <w:tbl>
      <w:tblPr>
        <w:tblW w:type="auto" w:w="0"/>
        <w:jc w:val="center"/>
        <w:tblLayout w:type="fixed"/>
        <w:tblLook w:firstColumn="1" w:firstRow="1" w:lastColumn="0" w:lastRow="0" w:noHBand="0" w:noVBand="1" w:val="04A0"/>
        <w:tblBorders>
          <w:top w:val="single" w:sz="4" w:space="0" w:color="D1C7B7"/>
          <w:bottom w:val="single" w:sz="4" w:space="0" w:color="D1C7B7"/>
          <w:left w:val="none"/>
          <w:right w:val="none"/>
          <w:insideH w:val="single" w:sz="4" w:space="0" w:color="D1C7B7"/>
          <w:insideV w:val="none"/>
        </w:tblBorders>
      </w:tblPr>
      <w:tblGrid>
        <w:gridCol w:w="1872"/>
        <w:gridCol w:w="1872"/>
        <w:gridCol w:w="1872"/>
        <w:gridCol w:w="1872"/>
        <w:gridCol w:w="1872"/>
      </w:tblGrid>
      <w:tr>
        <w:tc>
          <w:tcPr>
            <w:tcW w:type="dxa" w:w="1296"/>
            <w:shd w:fill="8B1E0F"/>
            <w:tcMar>
              <w:top w:w="120" w:type="dxa"/>
              <w:bottom w:w="120" w:type="dxa"/>
              <w:left w:w="140" w:type="dxa"/>
              <w:right w:w="140" w:type="dxa"/>
            </w:tcMar>
          </w:tcPr>
          <w:p>
            <w:pPr>
              <w:jc w:val="left"/>
            </w:pPr>
            <w:r>
              <w:rPr>
                <w:rFonts w:ascii="Calibri" w:hAnsi="Calibri"/>
                <w:b/>
                <w:color w:val="FFFFFF"/>
                <w:sz w:val="20"/>
              </w:rPr>
              <w:t>Source ID</w:t>
            </w:r>
          </w:p>
        </w:tc>
        <w:tc>
          <w:tcPr>
            <w:tcW w:type="dxa" w:w="2016"/>
            <w:shd w:fill="8B1E0F"/>
            <w:tcMar>
              <w:top w:w="120" w:type="dxa"/>
              <w:bottom w:w="120" w:type="dxa"/>
              <w:left w:w="140" w:type="dxa"/>
              <w:right w:w="140" w:type="dxa"/>
            </w:tcMar>
          </w:tcPr>
          <w:p>
            <w:pPr>
              <w:jc w:val="left"/>
            </w:pPr>
            <w:r>
              <w:rPr>
                <w:rFonts w:ascii="Calibri" w:hAnsi="Calibri"/>
                <w:b/>
                <w:color w:val="FFFFFF"/>
                <w:sz w:val="20"/>
              </w:rPr>
              <w:t>Author / Institution</w:t>
            </w:r>
          </w:p>
        </w:tc>
        <w:tc>
          <w:tcPr>
            <w:tcW w:type="dxa" w:w="3024"/>
            <w:shd w:fill="8B1E0F"/>
            <w:tcMar>
              <w:top w:w="120" w:type="dxa"/>
              <w:bottom w:w="120" w:type="dxa"/>
              <w:left w:w="140" w:type="dxa"/>
              <w:right w:w="140" w:type="dxa"/>
            </w:tcMar>
          </w:tcPr>
          <w:p>
            <w:pPr>
              <w:jc w:val="left"/>
            </w:pPr>
            <w:r>
              <w:rPr>
                <w:rFonts w:ascii="Calibri" w:hAnsi="Calibri"/>
                <w:b/>
                <w:color w:val="FFFFFF"/>
                <w:sz w:val="20"/>
              </w:rPr>
              <w:t>Title &amp; Publication</w:t>
            </w:r>
          </w:p>
        </w:tc>
        <w:tc>
          <w:tcPr>
            <w:tcW w:type="dxa" w:w="1584"/>
            <w:shd w:fill="8B1E0F"/>
            <w:tcMar>
              <w:top w:w="120" w:type="dxa"/>
              <w:bottom w:w="120" w:type="dxa"/>
              <w:left w:w="140" w:type="dxa"/>
              <w:right w:w="140" w:type="dxa"/>
            </w:tcMar>
          </w:tcPr>
          <w:p>
            <w:pPr>
              <w:jc w:val="left"/>
            </w:pPr>
            <w:r>
              <w:rPr>
                <w:rFonts w:ascii="Calibri" w:hAnsi="Calibri"/>
                <w:b/>
                <w:color w:val="FFFFFF"/>
                <w:sz w:val="20"/>
              </w:rPr>
              <w:t>Type &amp; Tier</w:t>
            </w:r>
          </w:p>
        </w:tc>
        <w:tc>
          <w:tcPr>
            <w:tcW w:type="dxa" w:w="1440"/>
            <w:shd w:fill="8B1E0F"/>
            <w:tcMar>
              <w:top w:w="120" w:type="dxa"/>
              <w:bottom w:w="120" w:type="dxa"/>
              <w:left w:w="140" w:type="dxa"/>
              <w:right w:w="140" w:type="dxa"/>
            </w:tcMar>
          </w:tcPr>
          <w:p>
            <w:pPr>
              <w:jc w:val="left"/>
            </w:pPr>
            <w:r>
              <w:rPr>
                <w:rFonts w:ascii="Calibri" w:hAnsi="Calibri"/>
                <w:b/>
                <w:color w:val="FFFFFF"/>
                <w:sz w:val="20"/>
              </w:rPr>
              <w:t>URL / Accession</w:t>
            </w:r>
          </w:p>
        </w:tc>
      </w:tr>
      <w:tr>
        <w:tc>
          <w:tcPr>
            <w:tcW w:type="dxa" w:w="1296"/>
            <w:shd w:fill="FFFFFF"/>
            <w:tcMar>
              <w:top w:w="100" w:type="dxa"/>
              <w:bottom w:w="100" w:type="dxa"/>
              <w:left w:w="140" w:type="dxa"/>
              <w:right w:w="140" w:type="dxa"/>
            </w:tcMar>
          </w:tcPr>
          <w:p>
            <w:pPr>
              <w:jc w:val="left"/>
            </w:pPr>
            <w:r>
              <w:rPr>
                <w:rFonts w:ascii="Calibri" w:hAnsi="Calibri"/>
                <w:color w:val="212529"/>
                <w:sz w:val="20"/>
              </w:rPr>
              <w:t>PUR-S001</w:t>
            </w:r>
          </w:p>
        </w:tc>
        <w:tc>
          <w:tcPr>
            <w:tcW w:type="dxa" w:w="2016"/>
            <w:shd w:fill="FFFFFF"/>
            <w:tcMar>
              <w:top w:w="100" w:type="dxa"/>
              <w:bottom w:w="100" w:type="dxa"/>
              <w:left w:w="140" w:type="dxa"/>
              <w:right w:w="140" w:type="dxa"/>
            </w:tcMar>
          </w:tcPr>
          <w:p>
            <w:pPr>
              <w:jc w:val="left"/>
            </w:pPr>
            <w:r>
              <w:rPr>
                <w:rFonts w:ascii="Calibri" w:hAnsi="Calibri"/>
                <w:color w:val="212529"/>
                <w:sz w:val="20"/>
              </w:rPr>
              <w:t>Archaeological Survey of India (ASI)</w:t>
            </w:r>
          </w:p>
        </w:tc>
        <w:tc>
          <w:tcPr>
            <w:tcW w:type="dxa" w:w="3024"/>
            <w:shd w:fill="FFFFFF"/>
            <w:tcMar>
              <w:top w:w="100" w:type="dxa"/>
              <w:bottom w:w="100" w:type="dxa"/>
              <w:left w:w="140" w:type="dxa"/>
              <w:right w:w="140" w:type="dxa"/>
            </w:tcMar>
          </w:tcPr>
          <w:p>
            <w:pPr>
              <w:jc w:val="left"/>
            </w:pPr>
            <w:r>
              <w:rPr>
                <w:rFonts w:ascii="Calibri" w:hAnsi="Calibri"/>
                <w:color w:val="212529"/>
                <w:sz w:val="20"/>
              </w:rPr>
              <w:t>Architectural and Structural Conservation Reports on Shree Jagannath Temple Complex, Puri</w:t>
            </w:r>
          </w:p>
        </w:tc>
        <w:tc>
          <w:tcPr>
            <w:tcW w:type="dxa" w:w="1584"/>
            <w:shd w:fill="FFFFFF"/>
            <w:tcMar>
              <w:top w:w="100" w:type="dxa"/>
              <w:bottom w:w="100" w:type="dxa"/>
              <w:left w:w="140" w:type="dxa"/>
              <w:right w:w="140" w:type="dxa"/>
            </w:tcMar>
          </w:tcPr>
          <w:p>
            <w:pPr>
              <w:jc w:val="left"/>
            </w:pPr>
            <w:r>
              <w:rPr>
                <w:rFonts w:ascii="Calibri" w:hAnsi="Calibri"/>
                <w:color w:val="212529"/>
                <w:sz w:val="20"/>
              </w:rPr>
              <w:t>Government Report (Tier 1)</w:t>
            </w:r>
          </w:p>
        </w:tc>
        <w:tc>
          <w:tcPr>
            <w:tcW w:type="dxa" w:w="1440"/>
            <w:shd w:fill="FFFFFF"/>
            <w:tcMar>
              <w:top w:w="100" w:type="dxa"/>
              <w:bottom w:w="100" w:type="dxa"/>
              <w:left w:w="140" w:type="dxa"/>
              <w:right w:w="140" w:type="dxa"/>
            </w:tcMar>
          </w:tcPr>
          <w:p>
            <w:pPr>
              <w:jc w:val="left"/>
            </w:pPr>
            <w:r>
              <w:rPr>
                <w:rFonts w:ascii="Calibri" w:hAnsi="Calibri"/>
                <w:color w:val="212529"/>
                <w:sz w:val="20"/>
              </w:rPr>
              <w:t>https://asi.nic.in</w:t>
            </w:r>
          </w:p>
        </w:tc>
      </w:tr>
      <w:tr>
        <w:tc>
          <w:tcPr>
            <w:tcW w:type="dxa" w:w="1296"/>
            <w:shd w:fill="F9F6F0"/>
            <w:tcMar>
              <w:top w:w="100" w:type="dxa"/>
              <w:bottom w:w="100" w:type="dxa"/>
              <w:left w:w="140" w:type="dxa"/>
              <w:right w:w="140" w:type="dxa"/>
            </w:tcMar>
          </w:tcPr>
          <w:p>
            <w:pPr>
              <w:jc w:val="left"/>
            </w:pPr>
            <w:r>
              <w:rPr>
                <w:rFonts w:ascii="Calibri" w:hAnsi="Calibri"/>
                <w:color w:val="212529"/>
                <w:sz w:val="20"/>
              </w:rPr>
              <w:t>PUR-S002</w:t>
            </w:r>
          </w:p>
        </w:tc>
        <w:tc>
          <w:tcPr>
            <w:tcW w:type="dxa" w:w="2016"/>
            <w:shd w:fill="F9F6F0"/>
            <w:tcMar>
              <w:top w:w="100" w:type="dxa"/>
              <w:bottom w:w="100" w:type="dxa"/>
              <w:left w:w="140" w:type="dxa"/>
              <w:right w:w="140" w:type="dxa"/>
            </w:tcMar>
          </w:tcPr>
          <w:p>
            <w:pPr>
              <w:jc w:val="left"/>
            </w:pPr>
            <w:r>
              <w:rPr>
                <w:rFonts w:ascii="Calibri" w:hAnsi="Calibri"/>
                <w:color w:val="212529"/>
                <w:sz w:val="20"/>
              </w:rPr>
              <w:t>Shree Jagannath Temple Administration (SJTA)</w:t>
            </w:r>
          </w:p>
        </w:tc>
        <w:tc>
          <w:tcPr>
            <w:tcW w:type="dxa" w:w="3024"/>
            <w:shd w:fill="F9F6F0"/>
            <w:tcMar>
              <w:top w:w="100" w:type="dxa"/>
              <w:bottom w:w="100" w:type="dxa"/>
              <w:left w:w="140" w:type="dxa"/>
              <w:right w:w="140" w:type="dxa"/>
            </w:tcMar>
          </w:tcPr>
          <w:p>
            <w:pPr>
              <w:jc w:val="left"/>
            </w:pPr>
            <w:r>
              <w:rPr>
                <w:rFonts w:ascii="Calibri" w:hAnsi="Calibri"/>
                <w:color w:val="212529"/>
                <w:sz w:val="20"/>
              </w:rPr>
              <w:t>Record of Rights (RoR) &amp; Sevayat Nijoga Niti Guidelines of Shri Jagannath Temple</w:t>
            </w:r>
          </w:p>
        </w:tc>
        <w:tc>
          <w:tcPr>
            <w:tcW w:type="dxa" w:w="1584"/>
            <w:shd w:fill="F9F6F0"/>
            <w:tcMar>
              <w:top w:w="100" w:type="dxa"/>
              <w:bottom w:w="100" w:type="dxa"/>
              <w:left w:w="140" w:type="dxa"/>
              <w:right w:w="140" w:type="dxa"/>
            </w:tcMar>
          </w:tcPr>
          <w:p>
            <w:pPr>
              <w:jc w:val="left"/>
            </w:pPr>
            <w:r>
              <w:rPr>
                <w:rFonts w:ascii="Calibri" w:hAnsi="Calibri"/>
                <w:color w:val="212529"/>
                <w:sz w:val="20"/>
              </w:rPr>
              <w:t>Statutory Temple Record (Tier 1)</w:t>
            </w:r>
          </w:p>
        </w:tc>
        <w:tc>
          <w:tcPr>
            <w:tcW w:type="dxa" w:w="1440"/>
            <w:shd w:fill="F9F6F0"/>
            <w:tcMar>
              <w:top w:w="100" w:type="dxa"/>
              <w:bottom w:w="100" w:type="dxa"/>
              <w:left w:w="140" w:type="dxa"/>
              <w:right w:w="140" w:type="dxa"/>
            </w:tcMar>
          </w:tcPr>
          <w:p>
            <w:pPr>
              <w:jc w:val="left"/>
            </w:pPr>
            <w:r>
              <w:rPr>
                <w:rFonts w:ascii="Calibri" w:hAnsi="Calibri"/>
                <w:color w:val="212529"/>
                <w:sz w:val="20"/>
              </w:rPr>
              <w:t>https://shreejagannatha.in</w:t>
            </w:r>
          </w:p>
        </w:tc>
      </w:tr>
      <w:tr>
        <w:tc>
          <w:tcPr>
            <w:tcW w:type="dxa" w:w="1296"/>
            <w:shd w:fill="FFFFFF"/>
            <w:tcMar>
              <w:top w:w="100" w:type="dxa"/>
              <w:bottom w:w="100" w:type="dxa"/>
              <w:left w:w="140" w:type="dxa"/>
              <w:right w:w="140" w:type="dxa"/>
            </w:tcMar>
          </w:tcPr>
          <w:p>
            <w:pPr>
              <w:jc w:val="left"/>
            </w:pPr>
            <w:r>
              <w:rPr>
                <w:rFonts w:ascii="Calibri" w:hAnsi="Calibri"/>
                <w:color w:val="212529"/>
                <w:sz w:val="20"/>
              </w:rPr>
              <w:t>PUR-S003</w:t>
            </w:r>
          </w:p>
        </w:tc>
        <w:tc>
          <w:tcPr>
            <w:tcW w:type="dxa" w:w="2016"/>
            <w:shd w:fill="FFFFFF"/>
            <w:tcMar>
              <w:top w:w="100" w:type="dxa"/>
              <w:bottom w:w="100" w:type="dxa"/>
              <w:left w:w="140" w:type="dxa"/>
              <w:right w:w="140" w:type="dxa"/>
            </w:tcMar>
          </w:tcPr>
          <w:p>
            <w:pPr>
              <w:jc w:val="left"/>
            </w:pPr>
            <w:r>
              <w:rPr>
                <w:rFonts w:ascii="Calibri" w:hAnsi="Calibri"/>
                <w:color w:val="212529"/>
                <w:sz w:val="20"/>
              </w:rPr>
              <w:t>Government of Odisha</w:t>
            </w:r>
          </w:p>
        </w:tc>
        <w:tc>
          <w:tcPr>
            <w:tcW w:type="dxa" w:w="3024"/>
            <w:shd w:fill="FFFFFF"/>
            <w:tcMar>
              <w:top w:w="100" w:type="dxa"/>
              <w:bottom w:w="100" w:type="dxa"/>
              <w:left w:w="140" w:type="dxa"/>
              <w:right w:w="140" w:type="dxa"/>
            </w:tcMar>
          </w:tcPr>
          <w:p>
            <w:pPr>
              <w:jc w:val="left"/>
            </w:pPr>
            <w:r>
              <w:rPr>
                <w:rFonts w:ascii="Calibri" w:hAnsi="Calibri"/>
                <w:color w:val="212529"/>
                <w:sz w:val="20"/>
              </w:rPr>
              <w:t>Odisha Cultural Heritage Gazetteer: Puri District Volume &amp; Pilgrimage Circuit</w:t>
            </w:r>
          </w:p>
        </w:tc>
        <w:tc>
          <w:tcPr>
            <w:tcW w:type="dxa" w:w="1584"/>
            <w:shd w:fill="FFFFFF"/>
            <w:tcMar>
              <w:top w:w="100" w:type="dxa"/>
              <w:bottom w:w="100" w:type="dxa"/>
              <w:left w:w="140" w:type="dxa"/>
              <w:right w:w="140" w:type="dxa"/>
            </w:tcMar>
          </w:tcPr>
          <w:p>
            <w:pPr>
              <w:jc w:val="left"/>
            </w:pPr>
            <w:r>
              <w:rPr>
                <w:rFonts w:ascii="Calibri" w:hAnsi="Calibri"/>
                <w:color w:val="212529"/>
                <w:sz w:val="20"/>
              </w:rPr>
              <w:t>Government Gazetteer (Tier 1)</w:t>
            </w:r>
          </w:p>
        </w:tc>
        <w:tc>
          <w:tcPr>
            <w:tcW w:type="dxa" w:w="1440"/>
            <w:shd w:fill="FFFFFF"/>
            <w:tcMar>
              <w:top w:w="100" w:type="dxa"/>
              <w:bottom w:w="100" w:type="dxa"/>
              <w:left w:w="140" w:type="dxa"/>
              <w:right w:w="140" w:type="dxa"/>
            </w:tcMar>
          </w:tcPr>
          <w:p>
            <w:pPr>
              <w:jc w:val="left"/>
            </w:pPr>
            <w:r>
              <w:rPr>
                <w:rFonts w:ascii="Calibri" w:hAnsi="Calibri"/>
                <w:color w:val="212529"/>
                <w:sz w:val="20"/>
              </w:rPr>
              <w:t>https://odishatourism.gov.in</w:t>
            </w:r>
          </w:p>
        </w:tc>
      </w:tr>
      <w:tr>
        <w:tc>
          <w:tcPr>
            <w:tcW w:type="dxa" w:w="1296"/>
            <w:shd w:fill="F9F6F0"/>
            <w:tcMar>
              <w:top w:w="100" w:type="dxa"/>
              <w:bottom w:w="100" w:type="dxa"/>
              <w:left w:w="140" w:type="dxa"/>
              <w:right w:w="140" w:type="dxa"/>
            </w:tcMar>
          </w:tcPr>
          <w:p>
            <w:pPr>
              <w:jc w:val="left"/>
            </w:pPr>
            <w:r>
              <w:rPr>
                <w:rFonts w:ascii="Calibri" w:hAnsi="Calibri"/>
                <w:color w:val="212529"/>
                <w:sz w:val="20"/>
              </w:rPr>
              <w:t>PUR-S008</w:t>
            </w:r>
          </w:p>
        </w:tc>
        <w:tc>
          <w:tcPr>
            <w:tcW w:type="dxa" w:w="2016"/>
            <w:shd w:fill="F9F6F0"/>
            <w:tcMar>
              <w:top w:w="100" w:type="dxa"/>
              <w:bottom w:w="100" w:type="dxa"/>
              <w:left w:w="140" w:type="dxa"/>
              <w:right w:w="140" w:type="dxa"/>
            </w:tcMar>
          </w:tcPr>
          <w:p>
            <w:pPr>
              <w:jc w:val="left"/>
            </w:pPr>
            <w:r>
              <w:rPr>
                <w:rFonts w:ascii="Calibri" w:hAnsi="Calibri"/>
                <w:color w:val="212529"/>
                <w:sz w:val="20"/>
              </w:rPr>
              <w:t>Oxford University Press / Heidelberg University</w:t>
            </w:r>
          </w:p>
        </w:tc>
        <w:tc>
          <w:tcPr>
            <w:tcW w:type="dxa" w:w="3024"/>
            <w:shd w:fill="F9F6F0"/>
            <w:tcMar>
              <w:top w:w="100" w:type="dxa"/>
              <w:bottom w:w="100" w:type="dxa"/>
              <w:left w:w="140" w:type="dxa"/>
              <w:right w:w="140" w:type="dxa"/>
            </w:tcMar>
          </w:tcPr>
          <w:p>
            <w:pPr>
              <w:jc w:val="left"/>
            </w:pPr>
            <w:r>
              <w:rPr>
                <w:rFonts w:ascii="Calibri" w:hAnsi="Calibri"/>
                <w:color w:val="212529"/>
                <w:sz w:val="20"/>
              </w:rPr>
              <w:t>The Cult of Jagannath and the Regional Tradition of Orissa (Orissa Research Project)</w:t>
            </w:r>
          </w:p>
        </w:tc>
        <w:tc>
          <w:tcPr>
            <w:tcW w:type="dxa" w:w="1584"/>
            <w:shd w:fill="F9F6F0"/>
            <w:tcMar>
              <w:top w:w="100" w:type="dxa"/>
              <w:bottom w:w="100" w:type="dxa"/>
              <w:left w:w="140" w:type="dxa"/>
              <w:right w:w="140" w:type="dxa"/>
            </w:tcMar>
          </w:tcPr>
          <w:p>
            <w:pPr>
              <w:jc w:val="left"/>
            </w:pPr>
            <w:r>
              <w:rPr>
                <w:rFonts w:ascii="Calibri" w:hAnsi="Calibri"/>
                <w:color w:val="212529"/>
                <w:sz w:val="20"/>
              </w:rPr>
              <w:t>Academic Monograph (Tier 2)</w:t>
            </w:r>
          </w:p>
        </w:tc>
        <w:tc>
          <w:tcPr>
            <w:tcW w:type="dxa" w:w="1440"/>
            <w:shd w:fill="F9F6F0"/>
            <w:tcMar>
              <w:top w:w="100" w:type="dxa"/>
              <w:bottom w:w="100" w:type="dxa"/>
              <w:left w:w="140" w:type="dxa"/>
              <w:right w:w="140" w:type="dxa"/>
            </w:tcMar>
          </w:tcPr>
          <w:p>
            <w:pPr>
              <w:jc w:val="left"/>
            </w:pPr>
            <w:r>
              <w:rPr>
                <w:rFonts w:ascii="Calibri" w:hAnsi="Calibri"/>
                <w:color w:val="212529"/>
                <w:sz w:val="20"/>
              </w:rPr>
              <w:t>https://doi.org/10.1093/oso/9780195610819.001.0001</w:t>
            </w:r>
          </w:p>
        </w:tc>
      </w:tr>
      <w:tr>
        <w:tc>
          <w:tcPr>
            <w:tcW w:type="dxa" w:w="1296"/>
            <w:shd w:fill="FFFFFF"/>
            <w:tcMar>
              <w:top w:w="100" w:type="dxa"/>
              <w:bottom w:w="100" w:type="dxa"/>
              <w:left w:w="140" w:type="dxa"/>
              <w:right w:w="140" w:type="dxa"/>
            </w:tcMar>
          </w:tcPr>
          <w:p>
            <w:pPr>
              <w:jc w:val="left"/>
            </w:pPr>
            <w:r>
              <w:rPr>
                <w:rFonts w:ascii="Calibri" w:hAnsi="Calibri"/>
                <w:color w:val="212529"/>
                <w:sz w:val="20"/>
              </w:rPr>
              <w:t>PUR-S019</w:t>
            </w:r>
          </w:p>
        </w:tc>
        <w:tc>
          <w:tcPr>
            <w:tcW w:type="dxa" w:w="2016"/>
            <w:shd w:fill="FFFFFF"/>
            <w:tcMar>
              <w:top w:w="100" w:type="dxa"/>
              <w:bottom w:w="100" w:type="dxa"/>
              <w:left w:w="140" w:type="dxa"/>
              <w:right w:w="140" w:type="dxa"/>
            </w:tcMar>
          </w:tcPr>
          <w:p>
            <w:pPr>
              <w:jc w:val="left"/>
            </w:pPr>
            <w:r>
              <w:rPr>
                <w:rFonts w:ascii="Calibri" w:hAnsi="Calibri"/>
                <w:color w:val="212529"/>
                <w:sz w:val="20"/>
              </w:rPr>
              <w:t>Madala Panji Archive</w:t>
            </w:r>
          </w:p>
        </w:tc>
        <w:tc>
          <w:tcPr>
            <w:tcW w:type="dxa" w:w="3024"/>
            <w:shd w:fill="FFFFFF"/>
            <w:tcMar>
              <w:top w:w="100" w:type="dxa"/>
              <w:bottom w:w="100" w:type="dxa"/>
              <w:left w:w="140" w:type="dxa"/>
              <w:right w:w="140" w:type="dxa"/>
            </w:tcMar>
          </w:tcPr>
          <w:p>
            <w:pPr>
              <w:jc w:val="left"/>
            </w:pPr>
            <w:r>
              <w:rPr>
                <w:rFonts w:ascii="Calibri" w:hAnsi="Calibri"/>
                <w:color w:val="212529"/>
                <w:sz w:val="20"/>
              </w:rPr>
              <w:t>Madala Panji: The Temple Chronicle of Shree Jagannath Temple of Puri</w:t>
            </w:r>
          </w:p>
        </w:tc>
        <w:tc>
          <w:tcPr>
            <w:tcW w:type="dxa" w:w="1584"/>
            <w:shd w:fill="FFFFFF"/>
            <w:tcMar>
              <w:top w:w="100" w:type="dxa"/>
              <w:bottom w:w="100" w:type="dxa"/>
              <w:left w:w="140" w:type="dxa"/>
              <w:right w:w="140" w:type="dxa"/>
            </w:tcMar>
          </w:tcPr>
          <w:p>
            <w:pPr>
              <w:jc w:val="left"/>
            </w:pPr>
            <w:r>
              <w:rPr>
                <w:rFonts w:ascii="Calibri" w:hAnsi="Calibri"/>
                <w:color w:val="212529"/>
                <w:sz w:val="20"/>
              </w:rPr>
              <w:t>Traditional Chronicle (Tier 2)</w:t>
            </w:r>
          </w:p>
        </w:tc>
        <w:tc>
          <w:tcPr>
            <w:tcW w:type="dxa" w:w="1440"/>
            <w:shd w:fill="FFFFFF"/>
            <w:tcMar>
              <w:top w:w="100" w:type="dxa"/>
              <w:bottom w:w="100" w:type="dxa"/>
              <w:left w:w="140" w:type="dxa"/>
              <w:right w:w="140" w:type="dxa"/>
            </w:tcMar>
          </w:tcPr>
          <w:p>
            <w:pPr>
              <w:jc w:val="left"/>
            </w:pPr>
            <w:r>
              <w:rPr>
                <w:rFonts w:ascii="Calibri" w:hAnsi="Calibri"/>
                <w:color w:val="212529"/>
                <w:sz w:val="20"/>
              </w:rPr>
              <w:t>https://orissaculture.gov.in</w:t>
            </w:r>
          </w:p>
        </w:tc>
      </w:tr>
    </w:tbl>
    <w:p>
      <w:pPr>
        <w:spacing w:after="120"/>
      </w:pP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6E78"/>
        <w:sz w:val="17"/>
      </w:rPr>
      <w:t>PURI CULTURAL KNOWLEDGE BASE | RATH YATRA (MAXIMUM DEPTH)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